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Indonesia</w:t>
      </w:r>
      <w:r>
        <w:t xml:space="preserve"> </w:t>
      </w:r>
      <w:r>
        <w:t xml:space="preserve">Jakarta</w:t>
      </w:r>
    </w:p>
    <w:bookmarkStart w:id="20" w:name="X511f8602a60c00850f7baf38959a5deac18203e"/>
    <w:p>
      <w:pPr>
        <w:pStyle w:val="Heading1"/>
      </w:pPr>
      <w:r>
        <w:t xml:space="preserve">Experiment Protocol: Behavioral Responses to Digital Financial Incentives</w:t>
      </w:r>
    </w:p>
    <w:p>
      <w:pPr>
        <w:pStyle w:val="FirstParagraph"/>
      </w:pPr>
      <w:r>
        <w:rPr>
          <w:bCs/>
          <w:b/>
        </w:rPr>
        <w:t xml:space="preserve">Principal Investigator:</w:t>
      </w:r>
      <w:r>
        <w:t xml:space="preserve"> </w:t>
      </w:r>
      <w:r>
        <w:t xml:space="preserve">Lead Economist, Institute for Economic Research</w:t>
      </w:r>
    </w:p>
    <w:p>
      <w:pPr>
        <w:pStyle w:val="BodyText"/>
      </w:pPr>
      <w:r>
        <w:rPr>
          <w:bCs/>
          <w:b/>
        </w:rPr>
        <w:t xml:space="preserve">Location:</w:t>
      </w:r>
      <w:r>
        <w:t xml:space="preserve"> </w:t>
      </w:r>
      <w:r>
        <w:t xml:space="preserve">Indonesia Jakarta (Central and South Jakarta Districts)</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bookmarkStart w:id="21" w:name="introduction-and-rationale"/>
    <w:p>
      <w:pPr>
        <w:pStyle w:val="Heading2"/>
      </w:pPr>
      <w:r>
        <w:t xml:space="preserve">1. Introduction and Rationale</w:t>
      </w:r>
    </w:p>
    <w:p>
      <w:pPr>
        <w:pStyle w:val="FirstParagraph"/>
      </w:pPr>
      <w:r>
        <w:t xml:space="preserve">This document outlines the comprehensive</w:t>
      </w:r>
      <w:r>
        <w:t xml:space="preserve"> </w:t>
      </w:r>
      <w:r>
        <w:rPr>
          <w:bCs/>
          <w:b/>
        </w:rPr>
        <w:t xml:space="preserve">Experiment Protocol</w:t>
      </w:r>
      <w:r>
        <w:t xml:space="preserve"> </w:t>
      </w:r>
      <w:r>
        <w:t xml:space="preserve">designed to investigate consumer behavior regarding micro-savings and digital payment adoption. As an</w:t>
      </w:r>
      <w:r>
        <w:t xml:space="preserve"> </w:t>
      </w:r>
      <w:r>
        <w:rPr>
          <w:bCs/>
          <w:b/>
        </w:rPr>
        <w:t xml:space="preserve">Economist</w:t>
      </w:r>
      <w:r>
        <w:t xml:space="preserve"> </w:t>
      </w:r>
      <w:r>
        <w:t xml:space="preserve">specializing in development and behavioral finance, the primary objective is to understand how specific financial nudges influence the economic decisions of urban populations in</w:t>
      </w:r>
      <w:r>
        <w:t xml:space="preserve"> </w:t>
      </w:r>
      <w:r>
        <w:rPr>
          <w:bCs/>
          <w:b/>
        </w:rPr>
        <w:t xml:space="preserve">Indonesia Jakarta</w:t>
      </w:r>
      <w:r>
        <w:t xml:space="preserve">.</w:t>
      </w:r>
    </w:p>
    <w:p>
      <w:pPr>
        <w:pStyle w:val="BodyText"/>
      </w:pPr>
      <w:r>
        <w:t xml:space="preserve">Jakarta represents a unique economic landscape characterized by rapid digitalization, a high density of micro, small, and medium enterprises (MSMEs), and a diverse socio-economic demographic. This experiment aims to bridge the gap between theoretical economic models and the practical financial realities faced by residents in the capital city. By implementing a randomized controlled trial (RCT), we seek to generate robust data that can inform policy recommendations for financial inclusion in Indonesia.</w:t>
      </w:r>
    </w:p>
    <w:bookmarkEnd w:id="21"/>
    <w:bookmarkStart w:id="22" w:name="objectives"/>
    <w:p>
      <w:pPr>
        <w:pStyle w:val="Heading2"/>
      </w:pPr>
      <w:r>
        <w:t xml:space="preserve">2. Objectives</w:t>
      </w:r>
    </w:p>
    <w:p>
      <w:pPr>
        <w:pStyle w:val="FirstParagraph"/>
      </w:pPr>
      <w:r>
        <w:t xml:space="preserve">The specific goals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impact of gamified savings prompts on the monthly savings rate of low-to-middle-income households in</w:t>
      </w:r>
      <w:r>
        <w:t xml:space="preserve"> </w:t>
      </w:r>
      <w:r>
        <w:rPr>
          <w:bCs/>
          <w:b/>
        </w:rPr>
        <w:t xml:space="preserve">Indonesia Jakarta</w:t>
      </w:r>
      <w:r>
        <w:t xml:space="preserve">.</w:t>
      </w:r>
    </w:p>
    <w:p>
      <w:pPr>
        <w:numPr>
          <w:ilvl w:val="0"/>
          <w:numId w:val="1001"/>
        </w:numPr>
        <w:pStyle w:val="Compact"/>
      </w:pPr>
      <w:r>
        <w:t xml:space="preserve">To analyze the elasticity of demand for digital wallet usage when paired with small monetary incentives.</w:t>
      </w:r>
    </w:p>
    <w:p>
      <w:pPr>
        <w:numPr>
          <w:ilvl w:val="0"/>
          <w:numId w:val="1001"/>
        </w:numPr>
        <w:pStyle w:val="Compact"/>
      </w:pPr>
      <w:r>
        <w:t xml:space="preserve">To assess the role of social proof and community norms in financial decision-making within dense urban neighborhoods (Kelurahan) in Jakarta.</w:t>
      </w:r>
    </w:p>
    <w:p>
      <w:pPr>
        <w:numPr>
          <w:ilvl w:val="0"/>
          <w:numId w:val="1001"/>
        </w:numPr>
        <w:pStyle w:val="Compact"/>
      </w:pPr>
      <w:r>
        <w:t xml:space="preserve">To provide the</w:t>
      </w:r>
      <w:r>
        <w:t xml:space="preserve"> </w:t>
      </w:r>
      <w:r>
        <w:rPr>
          <w:bCs/>
          <w:b/>
        </w:rPr>
        <w:t xml:space="preserve">Economist</w:t>
      </w:r>
      <w:r>
        <w:t xml:space="preserve"> </w:t>
      </w:r>
      <w:r>
        <w:t xml:space="preserve">research team with empirical evidence to refine predictive models of consumer behavior in emerging Southeast Asian markets.</w:t>
      </w:r>
    </w:p>
    <w:bookmarkEnd w:id="22"/>
    <w:bookmarkStart w:id="26" w:name="study-design-and-methodology"/>
    <w:p>
      <w:pPr>
        <w:pStyle w:val="Heading2"/>
      </w:pPr>
      <w:r>
        <w:t xml:space="preserve">3. Study Design and Methodology</w:t>
      </w:r>
    </w:p>
    <w:bookmarkStart w:id="23" w:name="study-type"/>
    <w:p>
      <w:pPr>
        <w:pStyle w:val="Heading3"/>
      </w:pPr>
      <w:r>
        <w:t xml:space="preserve">3.1 Study Type</w:t>
      </w:r>
    </w:p>
    <w:p>
      <w:pPr>
        <w:pStyle w:val="FirstParagraph"/>
      </w:pPr>
      <w:r>
        <w:t xml:space="preserve">This study utilizes a Randomized Controlled Trial (RCT) design. Participants will be randomly assigned to one of three groups: a Control Group, a Treatment Group A (Financial Incentive), and a Treatment Group B (Behavioral Nudge).</w:t>
      </w:r>
    </w:p>
    <w:bookmarkEnd w:id="23"/>
    <w:bookmarkStart w:id="24" w:name="location-and-context"/>
    <w:p>
      <w:pPr>
        <w:pStyle w:val="Heading3"/>
      </w:pPr>
      <w:r>
        <w:t xml:space="preserve">3.2 Location and Context</w:t>
      </w:r>
    </w:p>
    <w:p>
      <w:pPr>
        <w:pStyle w:val="FirstParagraph"/>
      </w:pPr>
      <w:r>
        <w:t xml:space="preserve">The experiment will be conducted exclusively in</w:t>
      </w:r>
      <w:r>
        <w:t xml:space="preserve"> </w:t>
      </w:r>
      <w:r>
        <w:rPr>
          <w:bCs/>
          <w:b/>
        </w:rPr>
        <w:t xml:space="preserve">Indonesia Jakarta</w:t>
      </w:r>
      <w:r>
        <w:t xml:space="preserve">. We have selected specific sub-districts in Central Jakarta (Menteng, Tanah Abang) and South Jakarta (Kebayoran Baru, Jagakarsa) to ensure a mix of formal and informal economic sectors. The choice of Jakarta is critical due to its status as the economic hub of Indonesia, allowing for a high volume of digital transactions and diverse participant profiles.</w:t>
      </w:r>
    </w:p>
    <w:bookmarkEnd w:id="24"/>
    <w:bookmarkStart w:id="25" w:name="recruitment-strategy"/>
    <w:p>
      <w:pPr>
        <w:pStyle w:val="Heading3"/>
      </w:pPr>
      <w:r>
        <w:t xml:space="preserve">3.3 Recruitment Strategy</w:t>
      </w:r>
    </w:p>
    <w:p>
      <w:pPr>
        <w:pStyle w:val="FirstParagraph"/>
      </w:pPr>
      <w:r>
        <w:t xml:space="preserve">Recruitment will be conducted through partnerships with local community leaders (RT/RW heads) and digital payment platforms popular in Indonesia. Participants must be:</w:t>
      </w:r>
    </w:p>
    <w:p>
      <w:pPr>
        <w:numPr>
          <w:ilvl w:val="0"/>
          <w:numId w:val="1002"/>
        </w:numPr>
        <w:pStyle w:val="Compact"/>
      </w:pPr>
      <w:r>
        <w:t xml:space="preserve">Residents of</w:t>
      </w:r>
      <w:r>
        <w:t xml:space="preserve"> </w:t>
      </w:r>
      <w:r>
        <w:rPr>
          <w:bCs/>
          <w:b/>
        </w:rPr>
        <w:t xml:space="preserve">Indonesia Jakarta</w:t>
      </w:r>
      <w:r>
        <w:t xml:space="preserve"> </w:t>
      </w:r>
      <w:r>
        <w:t xml:space="preserve">for at least one year.</w:t>
      </w:r>
    </w:p>
    <w:p>
      <w:pPr>
        <w:numPr>
          <w:ilvl w:val="0"/>
          <w:numId w:val="1002"/>
        </w:numPr>
        <w:pStyle w:val="Compact"/>
      </w:pPr>
      <w:r>
        <w:t xml:space="preserve">Aged between 18 and 60 years.</w:t>
      </w:r>
    </w:p>
    <w:p>
      <w:pPr>
        <w:numPr>
          <w:ilvl w:val="0"/>
          <w:numId w:val="1002"/>
        </w:numPr>
        <w:pStyle w:val="Compact"/>
      </w:pPr>
      <w:r>
        <w:t xml:space="preserve">Active users of a mobile phone with internet access.</w:t>
      </w:r>
    </w:p>
    <w:p>
      <w:pPr>
        <w:numPr>
          <w:ilvl w:val="0"/>
          <w:numId w:val="1002"/>
        </w:numPr>
        <w:pStyle w:val="Compact"/>
      </w:pPr>
      <w:r>
        <w:t xml:space="preserve">Willing to provide informed consent in accordance with ethical standards.</w:t>
      </w:r>
    </w:p>
    <w:bookmarkEnd w:id="25"/>
    <w:bookmarkEnd w:id="26"/>
    <w:bookmarkStart w:id="30" w:name="experimental-procedures"/>
    <w:p>
      <w:pPr>
        <w:pStyle w:val="Heading2"/>
      </w:pPr>
      <w:r>
        <w:t xml:space="preserve">4. Experimental Procedures</w:t>
      </w:r>
    </w:p>
    <w:p>
      <w:pPr>
        <w:pStyle w:val="FirstParagraph"/>
      </w:pPr>
      <w:r>
        <w:t xml:space="preserve">The</w:t>
      </w:r>
      <w:r>
        <w:t xml:space="preserve"> </w:t>
      </w:r>
      <w:r>
        <w:rPr>
          <w:bCs/>
          <w:b/>
        </w:rPr>
        <w:t xml:space="preserve">Experiment Protocol</w:t>
      </w:r>
      <w:r>
        <w:t xml:space="preserve"> </w:t>
      </w:r>
      <w:r>
        <w:t xml:space="preserve">dictates a strict timeline for data collection and intervention.</w:t>
      </w:r>
    </w:p>
    <w:bookmarkStart w:id="27" w:name="baseline-survey"/>
    <w:p>
      <w:pPr>
        <w:pStyle w:val="Heading3"/>
      </w:pPr>
      <w:r>
        <w:t xml:space="preserve">4.1 Baseline Survey</w:t>
      </w:r>
    </w:p>
    <w:p>
      <w:pPr>
        <w:pStyle w:val="FirstParagraph"/>
      </w:pPr>
      <w:r>
        <w:t xml:space="preserve">Upon recruitment, all participants will complete a baseline survey administered by trained enumerators. This survey will capture demographic data, current income levels, existing savings habits, and digital literacy. This step is essential for the</w:t>
      </w:r>
      <w:r>
        <w:t xml:space="preserve"> </w:t>
      </w:r>
      <w:r>
        <w:rPr>
          <w:bCs/>
          <w:b/>
        </w:rPr>
        <w:t xml:space="preserve">Economist</w:t>
      </w:r>
      <w:r>
        <w:t xml:space="preserve"> </w:t>
      </w:r>
      <w:r>
        <w:t xml:space="preserve">to establish a control baseline and ensure randomization balance across groups.</w:t>
      </w:r>
    </w:p>
    <w:bookmarkEnd w:id="27"/>
    <w:bookmarkStart w:id="28" w:name="intervention-phase"/>
    <w:p>
      <w:pPr>
        <w:pStyle w:val="Heading3"/>
      </w:pPr>
      <w:r>
        <w:t xml:space="preserve">4.2 Intervention Phase</w:t>
      </w:r>
    </w:p>
    <w:p>
      <w:pPr>
        <w:pStyle w:val="FirstParagraph"/>
      </w:pPr>
      <w:r>
        <w:t xml:space="preserve">The intervention will last for 12 weeks. During this period:</w:t>
      </w:r>
    </w:p>
    <w:p>
      <w:pPr>
        <w:numPr>
          <w:ilvl w:val="0"/>
          <w:numId w:val="1003"/>
        </w:numPr>
        <w:pStyle w:val="Compact"/>
      </w:pPr>
      <w:r>
        <w:rPr>
          <w:bCs/>
          <w:b/>
        </w:rPr>
        <w:t xml:space="preserve">Control Group:</w:t>
      </w:r>
      <w:r>
        <w:t xml:space="preserve"> </w:t>
      </w:r>
      <w:r>
        <w:t xml:space="preserve">Will receive no intervention but will be asked to complete monthly surveys.</w:t>
      </w:r>
    </w:p>
    <w:p>
      <w:pPr>
        <w:numPr>
          <w:ilvl w:val="0"/>
          <w:numId w:val="1003"/>
        </w:numPr>
        <w:pStyle w:val="Compact"/>
      </w:pPr>
      <w:r>
        <w:rPr>
          <w:bCs/>
          <w:b/>
        </w:rPr>
        <w:t xml:space="preserve">Treatment Group A:</w:t>
      </w:r>
      <w:r>
        <w:t xml:space="preserve"> </w:t>
      </w:r>
      <w:r>
        <w:t xml:space="preserve">Will receive small, conditional cash transfers (in Indonesian Rupiah) deposited into their digital wallets upon meeting specific savings targets.</w:t>
      </w:r>
    </w:p>
    <w:p>
      <w:pPr>
        <w:numPr>
          <w:ilvl w:val="0"/>
          <w:numId w:val="1003"/>
        </w:numPr>
        <w:pStyle w:val="Compact"/>
      </w:pPr>
      <w:r>
        <w:rPr>
          <w:bCs/>
          <w:b/>
        </w:rPr>
        <w:t xml:space="preserve">Treatment Group B:</w:t>
      </w:r>
      <w:r>
        <w:t xml:space="preserve"> </w:t>
      </w:r>
      <w:r>
        <w:t xml:space="preserve">Will receive behavioral nudges via SMS and app notifications, such as progress bars showing savings goals and messages highlighting the savings behavior of their peers in Jakarta.</w:t>
      </w:r>
    </w:p>
    <w:bookmarkEnd w:id="28"/>
    <w:bookmarkStart w:id="29" w:name="data-collection"/>
    <w:p>
      <w:pPr>
        <w:pStyle w:val="Heading3"/>
      </w:pPr>
      <w:r>
        <w:t xml:space="preserve">4.3 Data Collection</w:t>
      </w:r>
    </w:p>
    <w:p>
      <w:pPr>
        <w:pStyle w:val="FirstParagraph"/>
      </w:pPr>
      <w:r>
        <w:t xml:space="preserve">Data will be collected electronically through a secure mobile application. The</w:t>
      </w:r>
      <w:r>
        <w:t xml:space="preserve"> </w:t>
      </w:r>
      <w:r>
        <w:rPr>
          <w:bCs/>
          <w:b/>
        </w:rPr>
        <w:t xml:space="preserve">Economist</w:t>
      </w:r>
      <w:r>
        <w:t xml:space="preserve"> </w:t>
      </w:r>
      <w:r>
        <w:t xml:space="preserve">team will monitor transaction data (with user permission) to track real-time financial behavior. Weekly check-ins will ensure participant engagement and address any technical issues.</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highest ethical standards for human subject research. Key considerations include:</w:t>
      </w:r>
    </w:p>
    <w:p>
      <w:pPr>
        <w:numPr>
          <w:ilvl w:val="0"/>
          <w:numId w:val="1004"/>
        </w:numPr>
        <w:pStyle w:val="Compact"/>
      </w:pPr>
      <w:r>
        <w:rPr>
          <w:bCs/>
          <w:b/>
        </w:rPr>
        <w:t xml:space="preserve">Informed Consent:</w:t>
      </w:r>
      <w:r>
        <w:t xml:space="preserve"> </w:t>
      </w:r>
      <w:r>
        <w:t xml:space="preserve">All participants in</w:t>
      </w:r>
      <w:r>
        <w:t xml:space="preserve"> </w:t>
      </w:r>
      <w:r>
        <w:rPr>
          <w:bCs/>
          <w:b/>
        </w:rPr>
        <w:t xml:space="preserve">Indonesia Jakarta</w:t>
      </w:r>
      <w:r>
        <w:t xml:space="preserve"> </w:t>
      </w:r>
      <w:r>
        <w:t xml:space="preserve">will sign a digital consent form explaining the study's purpose, procedures, risks, and benefits in clear language.</w:t>
      </w:r>
    </w:p>
    <w:p>
      <w:pPr>
        <w:numPr>
          <w:ilvl w:val="0"/>
          <w:numId w:val="1004"/>
        </w:numPr>
        <w:pStyle w:val="Compact"/>
      </w:pPr>
      <w:r>
        <w:rPr>
          <w:bCs/>
          <w:b/>
        </w:rPr>
        <w:t xml:space="preserve">Privacy and Confidentiality:</w:t>
      </w:r>
      <w:r>
        <w:t xml:space="preserve"> </w:t>
      </w:r>
      <w:r>
        <w:t xml:space="preserve">All personal and financial data will be anonymized and encrypted. Data storage will comply with Indonesia's Personal Data Protection regulations.</w:t>
      </w:r>
    </w:p>
    <w:p>
      <w:pPr>
        <w:numPr>
          <w:ilvl w:val="0"/>
          <w:numId w:val="1004"/>
        </w:numPr>
        <w:pStyle w:val="Compact"/>
      </w:pPr>
      <w:r>
        <w:rPr>
          <w:bCs/>
          <w:b/>
        </w:rPr>
        <w:t xml:space="preserve">Voluntary Participation:</w:t>
      </w:r>
      <w:r>
        <w:t xml:space="preserve"> </w:t>
      </w:r>
      <w:r>
        <w:t xml:space="preserve">Participants may withdraw from the study at any time without penalty or loss of benefits already accrued.</w:t>
      </w:r>
    </w:p>
    <w:p>
      <w:pPr>
        <w:numPr>
          <w:ilvl w:val="0"/>
          <w:numId w:val="1004"/>
        </w:numPr>
        <w:pStyle w:val="Compact"/>
      </w:pPr>
      <w:r>
        <w:rPr>
          <w:bCs/>
          <w:b/>
        </w:rPr>
        <w:t xml:space="preserve">Debriefing:</w:t>
      </w:r>
      <w:r>
        <w:t xml:space="preserve"> </w:t>
      </w:r>
      <w:r>
        <w:t xml:space="preserve">Upon completion, all participants, including the control group, will be offered a summary of the findings and access to the financial tools used in the study.</w:t>
      </w:r>
    </w:p>
    <w:bookmarkEnd w:id="31"/>
    <w:bookmarkStart w:id="32" w:name="data-analysis-plan"/>
    <w:p>
      <w:pPr>
        <w:pStyle w:val="Heading2"/>
      </w:pPr>
      <w:r>
        <w:t xml:space="preserve">6. Data Analysis Plan</w:t>
      </w:r>
    </w:p>
    <w:p>
      <w:pPr>
        <w:pStyle w:val="FirstParagraph"/>
      </w:pPr>
      <w:r>
        <w:t xml:space="preserve">The</w:t>
      </w:r>
      <w:r>
        <w:t xml:space="preserve"> </w:t>
      </w:r>
      <w:r>
        <w:rPr>
          <w:bCs/>
          <w:b/>
        </w:rPr>
        <w:t xml:space="preserve">Economist</w:t>
      </w:r>
      <w:r>
        <w:t xml:space="preserve"> </w:t>
      </w:r>
      <w:r>
        <w:t xml:space="preserve">will employ econometric techniques to analyze the data. The primary analysis will use difference-in-differences (DiD) models to compare changes in savings behavior between the treatment and control groups over time. Secondary analyses will explore heterogeneity in treatment effects based on income levels, gender, and neighborhood characteristics within Jakarta. Robustness checks will be performed to ensure the validity of the results.</w:t>
      </w:r>
    </w:p>
    <w:bookmarkEnd w:id="32"/>
    <w:bookmarkStart w:id="33" w:name="risk-management"/>
    <w:p>
      <w:pPr>
        <w:pStyle w:val="Heading2"/>
      </w:pPr>
      <w:r>
        <w:t xml:space="preserve">7. Risk Management</w:t>
      </w:r>
    </w:p>
    <w:p>
      <w:pPr>
        <w:pStyle w:val="FirstParagraph"/>
      </w:pPr>
      <w:r>
        <w:t xml:space="preserve">Potential risks include technical failures in the digital platform, low participant retention, and external economic shocks in</w:t>
      </w:r>
      <w:r>
        <w:t xml:space="preserve"> </w:t>
      </w:r>
      <w:r>
        <w:rPr>
          <w:bCs/>
          <w:b/>
        </w:rPr>
        <w:t xml:space="preserve">Indonesia Jakarta</w:t>
      </w:r>
      <w:r>
        <w:t xml:space="preserve"> </w:t>
      </w:r>
      <w:r>
        <w:t xml:space="preserve">that could affect financial behavior. Mitigation strategies include:</w:t>
      </w:r>
    </w:p>
    <w:p>
      <w:pPr>
        <w:numPr>
          <w:ilvl w:val="0"/>
          <w:numId w:val="1005"/>
        </w:numPr>
        <w:pStyle w:val="Compact"/>
      </w:pPr>
      <w:r>
        <w:t xml:space="preserve">Providing technical support hotlines for participants.</w:t>
      </w:r>
    </w:p>
    <w:p>
      <w:pPr>
        <w:numPr>
          <w:ilvl w:val="0"/>
          <w:numId w:val="1005"/>
        </w:numPr>
        <w:pStyle w:val="Compact"/>
      </w:pPr>
      <w:r>
        <w:t xml:space="preserve">Offering small participation incentives for completing surveys.</w:t>
      </w:r>
    </w:p>
    <w:p>
      <w:pPr>
        <w:numPr>
          <w:ilvl w:val="0"/>
          <w:numId w:val="1005"/>
        </w:numPr>
        <w:pStyle w:val="Compact"/>
      </w:pPr>
      <w:r>
        <w:t xml:space="preserve">Including control variables in the analysis to account for macroeconomic fluctuations.</w:t>
      </w:r>
    </w:p>
    <w:bookmarkEnd w:id="33"/>
    <w:bookmarkStart w:id="34"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investigating behavioral economics in a real-world setting. By focusing on</w:t>
      </w:r>
      <w:r>
        <w:t xml:space="preserve"> </w:t>
      </w:r>
      <w:r>
        <w:rPr>
          <w:bCs/>
          <w:b/>
        </w:rPr>
        <w:t xml:space="preserve">Indonesia Jakarta</w:t>
      </w:r>
      <w:r>
        <w:t xml:space="preserve">, the study leverages the city's dynamic economic environment to generate insights that are both locally relevant and globally significant. The findings will contribute to the broader understanding of how digital tools and behavioral insights can enhance financial well-being, ultimately supporting the work of the</w:t>
      </w:r>
      <w:r>
        <w:t xml:space="preserve"> </w:t>
      </w:r>
      <w:r>
        <w:rPr>
          <w:bCs/>
          <w:b/>
        </w:rPr>
        <w:t xml:space="preserve">Economist</w:t>
      </w:r>
      <w:r>
        <w:t xml:space="preserve"> </w:t>
      </w:r>
      <w:r>
        <w:t xml:space="preserve">in promoting sustainable economic development.</w:t>
      </w:r>
    </w:p>
    <w:bookmarkEnd w:id="34"/>
    <w:p>
      <w:pPr>
        <w:pStyle w:val="BodyText"/>
      </w:pPr>
      <w:r>
        <w:rPr>
          <w:bCs/>
          <w:b/>
        </w:rPr>
        <w:t xml:space="preserve">Approval Status:</w:t>
      </w:r>
      <w:r>
        <w:t xml:space="preserve"> </w:t>
      </w:r>
      <w:r>
        <w:t xml:space="preserve">Pending review by the Institutional Review Board (IRB) and local regulatory authorities in Indonesia.</w:t>
      </w:r>
    </w:p>
    <w:p>
      <w:pPr>
        <w:pStyle w:val="BodyText"/>
      </w:pPr>
      <w:r>
        <w:t xml:space="preserve">© 2023 Institute for Economic Research.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Indonesia Jakarta</dc:title>
  <dc:creator/>
  <dc:language>en</dc:language>
  <cp:keywords/>
  <dcterms:created xsi:type="dcterms:W3CDTF">2026-10-10T09:17:07Z</dcterms:created>
  <dcterms:modified xsi:type="dcterms:W3CDTF">2026-10-10T09:17:07Z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