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Behavioral</w:t>
      </w:r>
      <w:r>
        <w:t xml:space="preserve"> </w:t>
      </w:r>
      <w:r>
        <w:t xml:space="preserve">Economics</w:t>
      </w:r>
      <w:r>
        <w:t xml:space="preserve"> </w:t>
      </w:r>
      <w:r>
        <w:t xml:space="preserve">in</w:t>
      </w:r>
      <w:r>
        <w:t xml:space="preserve"> </w:t>
      </w:r>
      <w:r>
        <w:t xml:space="preserve">Tehran,</w:t>
      </w:r>
      <w:r>
        <w:t xml:space="preserve"> </w:t>
      </w:r>
      <w:r>
        <w:t xml:space="preserve">Iran</w:t>
      </w:r>
    </w:p>
    <w:bookmarkStart w:id="33" w:name="X94c9ac46597cd88cbaf41e6ca679ed071fa75c4"/>
    <w:p>
      <w:pPr>
        <w:pStyle w:val="Heading1"/>
      </w:pPr>
      <w:r>
        <w:t xml:space="preserve">Experiment Protocol: Behavioral Responses to Inflationary Shocks and Currency Volatility</w:t>
      </w:r>
    </w:p>
    <w:p>
      <w:pPr>
        <w:pStyle w:val="FirstParagraph"/>
      </w:pPr>
      <w:r>
        <w:rPr>
          <w:bCs/>
          <w:b/>
        </w:rPr>
        <w:t xml:space="preserve">Protocol ID:</w:t>
      </w:r>
      <w:r>
        <w:t xml:space="preserve"> </w:t>
      </w:r>
      <w:r>
        <w:t xml:space="preserve">TEH-BE-2024-001</w:t>
      </w:r>
    </w:p>
    <w:p>
      <w:pPr>
        <w:pStyle w:val="BodyText"/>
      </w:pPr>
      <w:r>
        <w:rPr>
          <w:bCs/>
          <w:b/>
        </w:rPr>
        <w:t xml:space="preserve">Principal Investigator:</w:t>
      </w:r>
      <w:r>
        <w:t xml:space="preserve"> </w:t>
      </w:r>
      <w:r>
        <w:t xml:space="preserve">Lead Economist, Department of Developmental Economics</w:t>
      </w:r>
    </w:p>
    <w:p>
      <w:pPr>
        <w:pStyle w:val="BodyText"/>
      </w:pPr>
      <w:r>
        <w:rPr>
          <w:bCs/>
          <w:b/>
        </w:rPr>
        <w:t xml:space="preserve">Location:</w:t>
      </w:r>
      <w:r>
        <w:t xml:space="preserve"> </w:t>
      </w:r>
      <w:r>
        <w:t xml:space="preserve">Tehran, Iran (Districts 1, 6, and 12)</w:t>
      </w:r>
    </w:p>
    <w:p>
      <w:pPr>
        <w:pStyle w:val="BodyText"/>
      </w:pPr>
      <w:r>
        <w:rPr>
          <w:bCs/>
          <w:b/>
        </w:rPr>
        <w:t xml:space="preserve">Date of Submission:</w:t>
      </w:r>
      <w:r>
        <w:t xml:space="preserve"> </w:t>
      </w:r>
      <w:r>
        <w:t xml:space="preserve">October 24, 2023</w:t>
      </w:r>
    </w:p>
    <w:p>
      <w:pPr>
        <w:pStyle w:val="BodyText"/>
      </w:pPr>
      <w:r>
        <w:rPr>
          <w:bCs/>
          <w:b/>
        </w:rPr>
        <w:t xml:space="preserve">Status:</w:t>
      </w:r>
      <w:r>
        <w:t xml:space="preserve"> </w:t>
      </w:r>
      <w:r>
        <w:t xml:space="preserve">Approved for Field Implementation</w:t>
      </w:r>
    </w:p>
    <w:bookmarkStart w:id="20" w:name="introduction-and-rationale"/>
    <w:p>
      <w:pPr>
        <w:pStyle w:val="Heading2"/>
      </w:pPr>
      <w:r>
        <w:t xml:space="preserve">1. Introduction and Rationale</w:t>
      </w:r>
    </w:p>
    <w:p>
      <w:pPr>
        <w:pStyle w:val="FirstParagraph"/>
      </w:pPr>
      <w:r>
        <w:t xml:space="preserve">This</w:t>
      </w:r>
      <w:r>
        <w:t xml:space="preserve"> </w:t>
      </w:r>
      <w:r>
        <w:rPr>
          <w:bCs/>
          <w:b/>
        </w:rPr>
        <w:t xml:space="preserve">Experiment Protocol</w:t>
      </w:r>
      <w:r>
        <w:t xml:space="preserve"> </w:t>
      </w:r>
      <w:r>
        <w:t xml:space="preserve">outlines the methodology for a controlled field experiment designed to analyze the decision-making processes of households in</w:t>
      </w:r>
      <w:r>
        <w:t xml:space="preserve"> </w:t>
      </w:r>
      <w:r>
        <w:rPr>
          <w:bCs/>
          <w:b/>
        </w:rPr>
        <w:t xml:space="preserve">Tehran, Iran</w:t>
      </w:r>
      <w:r>
        <w:t xml:space="preserve">, under conditions of high inflation and currency fluctuation. The primary objective is to understand how local consumers adjust their consumption baskets, savings behaviors, and risk tolerance when faced with rapid devaluation of the national currency.</w:t>
      </w:r>
    </w:p>
    <w:p>
      <w:pPr>
        <w:pStyle w:val="BodyText"/>
      </w:pPr>
      <w:r>
        <w:t xml:space="preserve">As an</w:t>
      </w:r>
      <w:r>
        <w:t xml:space="preserve"> </w:t>
      </w:r>
      <w:r>
        <w:rPr>
          <w:bCs/>
          <w:b/>
        </w:rPr>
        <w:t xml:space="preserve">Economist</w:t>
      </w:r>
      <w:r>
        <w:t xml:space="preserve"> </w:t>
      </w:r>
      <w:r>
        <w:t xml:space="preserve">operating within this specific geopolitical and economic context, it is crucial to move beyond theoretical models and observe actual behavioral responses. The economic landscape in</w:t>
      </w:r>
      <w:r>
        <w:t xml:space="preserve"> </w:t>
      </w:r>
      <w:r>
        <w:rPr>
          <w:bCs/>
          <w:b/>
        </w:rPr>
        <w:t xml:space="preserve">Tehran</w:t>
      </w:r>
      <w:r>
        <w:t xml:space="preserve"> </w:t>
      </w:r>
      <w:r>
        <w:t xml:space="preserve">is characterized by unique structural constraints, including dual exchange rates, import restrictions, and a high reliance on informal markets. This protocol aims to generate empirical data that can inform policy recommendations regarding social safety nets and monetary stabilization strategies.</w:t>
      </w:r>
    </w:p>
    <w:bookmarkEnd w:id="20"/>
    <w:bookmarkStart w:id="21" w:name="objectives"/>
    <w:p>
      <w:pPr>
        <w:pStyle w:val="Heading2"/>
      </w:pPr>
      <w:r>
        <w:t xml:space="preserve">2. Objectives</w:t>
      </w:r>
    </w:p>
    <w:p>
      <w:pPr>
        <w:pStyle w:val="FirstParagraph"/>
      </w:pPr>
      <w:r>
        <w:t xml:space="preserve">The specific goals of this study are as follows:</w:t>
      </w:r>
    </w:p>
    <w:p>
      <w:pPr>
        <w:numPr>
          <w:ilvl w:val="0"/>
          <w:numId w:val="1001"/>
        </w:numPr>
        <w:pStyle w:val="Compact"/>
      </w:pPr>
      <w:r>
        <w:t xml:space="preserve">To quantify the "precautionary savings" effect among middle-income families in</w:t>
      </w:r>
      <w:r>
        <w:t xml:space="preserve"> </w:t>
      </w:r>
      <w:r>
        <w:rPr>
          <w:bCs/>
          <w:b/>
        </w:rPr>
        <w:t xml:space="preserve">Tehran</w:t>
      </w:r>
      <w:r>
        <w:t xml:space="preserve"> </w:t>
      </w:r>
      <w:r>
        <w:t xml:space="preserve">during periods of exchange rate volatility.</w:t>
      </w:r>
    </w:p>
    <w:p>
      <w:pPr>
        <w:numPr>
          <w:ilvl w:val="0"/>
          <w:numId w:val="1001"/>
        </w:numPr>
        <w:pStyle w:val="Compact"/>
      </w:pPr>
      <w:r>
        <w:t xml:space="preserve">To determine the elasticity of demand for essential goods versus luxury goods when prices increase by more than 15% within a 48-hour window.</w:t>
      </w:r>
    </w:p>
    <w:p>
      <w:pPr>
        <w:numPr>
          <w:ilvl w:val="0"/>
          <w:numId w:val="1001"/>
        </w:numPr>
        <w:pStyle w:val="Compact"/>
      </w:pPr>
      <w:r>
        <w:t xml:space="preserve">To assess the impact of digital payment restrictions on the velocity of money in local markets.</w:t>
      </w:r>
    </w:p>
    <w:p>
      <w:pPr>
        <w:numPr>
          <w:ilvl w:val="0"/>
          <w:numId w:val="1001"/>
        </w:numPr>
        <w:pStyle w:val="Compact"/>
      </w:pPr>
      <w:r>
        <w:t xml:space="preserve">To evaluate the effectiveness of targeted subsidies in mitigating the adverse effects of inflation on low-income households.</w:t>
      </w:r>
    </w:p>
    <w:bookmarkEnd w:id="21"/>
    <w:bookmarkStart w:id="24"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w:t>
      </w:r>
      <w:r>
        <w:t xml:space="preserve"> </w:t>
      </w:r>
      <w:r>
        <w:rPr>
          <w:bCs/>
          <w:b/>
        </w:rPr>
        <w:t xml:space="preserve">Experiment Protocol</w:t>
      </w:r>
      <w:r>
        <w:t xml:space="preserve"> </w:t>
      </w:r>
      <w:r>
        <w:t xml:space="preserve">utilizes a randomized controlled trial (RCT) design combined with longitudinal survey data. The experiment will be conducted over a period of six months. Participants will be divided into a control group and three treatment groups, each exposed to different simulated economic scenarios via a secure mobile application.</w:t>
      </w:r>
    </w:p>
    <w:bookmarkEnd w:id="22"/>
    <w:bookmarkStart w:id="23" w:name="participant-selection"/>
    <w:p>
      <w:pPr>
        <w:pStyle w:val="Heading3"/>
      </w:pPr>
      <w:r>
        <w:t xml:space="preserve">3.2 Participant Selection</w:t>
      </w:r>
    </w:p>
    <w:p>
      <w:pPr>
        <w:pStyle w:val="FirstParagraph"/>
      </w:pPr>
      <w:r>
        <w:t xml:space="preserve">Recruitment will focus on residents of</w:t>
      </w:r>
      <w:r>
        <w:t xml:space="preserve"> </w:t>
      </w:r>
      <w:r>
        <w:rPr>
          <w:bCs/>
          <w:b/>
        </w:rPr>
        <w:t xml:space="preserve">Tehran, Iran</w:t>
      </w:r>
      <w:r>
        <w:t xml:space="preserve">, specifically targeting three distinct socioeconomic zones to ensure a representative sample:</w:t>
      </w:r>
    </w:p>
    <w:p>
      <w:pPr>
        <w:numPr>
          <w:ilvl w:val="0"/>
          <w:numId w:val="1002"/>
        </w:numPr>
        <w:pStyle w:val="Compact"/>
      </w:pPr>
      <w:r>
        <w:rPr>
          <w:bCs/>
          <w:b/>
        </w:rPr>
        <w:t xml:space="preserve">Zone A (District 1):</w:t>
      </w:r>
      <w:r>
        <w:t xml:space="preserve"> </w:t>
      </w:r>
      <w:r>
        <w:t xml:space="preserve">High-income households with access to foreign currency accounts.</w:t>
      </w:r>
    </w:p>
    <w:p>
      <w:pPr>
        <w:numPr>
          <w:ilvl w:val="0"/>
          <w:numId w:val="1002"/>
        </w:numPr>
        <w:pStyle w:val="Compact"/>
      </w:pPr>
      <w:r>
        <w:rPr>
          <w:bCs/>
          <w:b/>
        </w:rPr>
        <w:t xml:space="preserve">Zone B (District 6):</w:t>
      </w:r>
      <w:r>
        <w:t xml:space="preserve"> </w:t>
      </w:r>
      <w:r>
        <w:t xml:space="preserve">Middle-income households, primarily salaried employees.</w:t>
      </w:r>
    </w:p>
    <w:p>
      <w:pPr>
        <w:numPr>
          <w:ilvl w:val="0"/>
          <w:numId w:val="1002"/>
        </w:numPr>
        <w:pStyle w:val="Compact"/>
      </w:pPr>
      <w:r>
        <w:rPr>
          <w:bCs/>
          <w:b/>
        </w:rPr>
        <w:t xml:space="preserve">Zone C (District 12):</w:t>
      </w:r>
      <w:r>
        <w:t xml:space="preserve"> </w:t>
      </w:r>
      <w:r>
        <w:t xml:space="preserve">Low-income households, heavily reliant on daily wages and government subsidies.</w:t>
      </w:r>
    </w:p>
    <w:p>
      <w:pPr>
        <w:pStyle w:val="FirstParagraph"/>
      </w:pPr>
      <w:r>
        <w:t xml:space="preserve">The target sample size is 1,200 households, with 400 households per zone. Inclusion criteria require participants to be heads of households, aged 25-60, and residents of</w:t>
      </w:r>
      <w:r>
        <w:t xml:space="preserve"> </w:t>
      </w:r>
      <w:r>
        <w:rPr>
          <w:bCs/>
          <w:b/>
        </w:rPr>
        <w:t xml:space="preserve">Tehran</w:t>
      </w:r>
      <w:r>
        <w:t xml:space="preserve"> </w:t>
      </w:r>
      <w:r>
        <w:t xml:space="preserve">for at least five years.</w:t>
      </w:r>
    </w:p>
    <w:bookmarkEnd w:id="23"/>
    <w:bookmarkEnd w:id="24"/>
    <w:bookmarkStart w:id="28" w:name="experimental-procedures"/>
    <w:p>
      <w:pPr>
        <w:pStyle w:val="Heading2"/>
      </w:pPr>
      <w:r>
        <w:t xml:space="preserve">4. Experimental Procedures</w:t>
      </w:r>
    </w:p>
    <w:bookmarkStart w:id="25" w:name="phase-1-baseline-survey"/>
    <w:p>
      <w:pPr>
        <w:pStyle w:val="Heading3"/>
      </w:pPr>
      <w:r>
        <w:t xml:space="preserve">4.1 Phase 1: Baseline Survey</w:t>
      </w:r>
    </w:p>
    <w:p>
      <w:pPr>
        <w:pStyle w:val="FirstParagraph"/>
      </w:pPr>
      <w:r>
        <w:t xml:space="preserve">All participants will complete a comprehensive baseline survey detailing their current financial status, consumption habits, and risk perception. This phase is critical for the</w:t>
      </w:r>
      <w:r>
        <w:t xml:space="preserve"> </w:t>
      </w:r>
      <w:r>
        <w:rPr>
          <w:bCs/>
          <w:b/>
        </w:rPr>
        <w:t xml:space="preserve">Economist</w:t>
      </w:r>
      <w:r>
        <w:t xml:space="preserve"> </w:t>
      </w:r>
      <w:r>
        <w:t xml:space="preserve">to establish a control baseline before introducing experimental variables.</w:t>
      </w:r>
    </w:p>
    <w:bookmarkEnd w:id="25"/>
    <w:bookmarkStart w:id="26" w:name="phase-2-treatment-implementation"/>
    <w:p>
      <w:pPr>
        <w:pStyle w:val="Heading3"/>
      </w:pPr>
      <w:r>
        <w:t xml:space="preserve">4.2 Phase 2: Treatment Implementation</w:t>
      </w:r>
    </w:p>
    <w:p>
      <w:pPr>
        <w:pStyle w:val="FirstParagraph"/>
      </w:pPr>
      <w:r>
        <w:t xml:space="preserve">Participants will receive weekly notifications simulating economic shocks. For example, Group 1 will receive information simulating a 10% devaluation of the Rial, while Group 2 will receive information about a sudden increase in the price of imported goods. The control group will receive neutral economic news.</w:t>
      </w:r>
    </w:p>
    <w:p>
      <w:pPr>
        <w:pStyle w:val="BodyText"/>
      </w:pPr>
      <w:r>
        <w:t xml:space="preserve">Following each notification, participants will be asked to make real-time decisions regarding a hypothetical budget allocation. These decisions will be tracked to measure changes in behavior.</w:t>
      </w:r>
    </w:p>
    <w:bookmarkEnd w:id="26"/>
    <w:bookmarkStart w:id="27" w:name="phase-3-field-verification"/>
    <w:p>
      <w:pPr>
        <w:pStyle w:val="Heading3"/>
      </w:pPr>
      <w:r>
        <w:t xml:space="preserve">4.3 Phase 3: Field Verification</w:t>
      </w:r>
    </w:p>
    <w:p>
      <w:pPr>
        <w:pStyle w:val="FirstParagraph"/>
      </w:pPr>
      <w:r>
        <w:t xml:space="preserve">To ensure the validity of the data, a subset of participants will be asked to provide receipts from local markets in</w:t>
      </w:r>
      <w:r>
        <w:t xml:space="preserve"> </w:t>
      </w:r>
      <w:r>
        <w:rPr>
          <w:bCs/>
          <w:b/>
        </w:rPr>
        <w:t xml:space="preserve">Tehran</w:t>
      </w:r>
      <w:r>
        <w:t xml:space="preserve"> </w:t>
      </w:r>
      <w:r>
        <w:t xml:space="preserve">to verify their reported consumption patterns. This step is essential to account for the discrepancy between reported behavior and actual behavior in high-inflation environments.</w:t>
      </w:r>
    </w:p>
    <w:bookmarkEnd w:id="27"/>
    <w:bookmarkEnd w:id="28"/>
    <w:bookmarkStart w:id="29" w:name="data-collection-and-analysis"/>
    <w:p>
      <w:pPr>
        <w:pStyle w:val="Heading2"/>
      </w:pPr>
      <w:r>
        <w:t xml:space="preserve">5. Data Collection and Analysis</w:t>
      </w:r>
    </w:p>
    <w:p>
      <w:pPr>
        <w:pStyle w:val="FirstParagraph"/>
      </w:pPr>
      <w:r>
        <w:t xml:space="preserve">Data will be collected via a secure, encrypted mobile application designed to comply with local data protection regulations in</w:t>
      </w:r>
      <w:r>
        <w:t xml:space="preserve"> </w:t>
      </w:r>
      <w:r>
        <w:rPr>
          <w:bCs/>
          <w:b/>
        </w:rPr>
        <w:t xml:space="preserve">Iran</w:t>
      </w:r>
      <w:r>
        <w:t xml:space="preserve">. The</w:t>
      </w:r>
      <w:r>
        <w:t xml:space="preserve"> </w:t>
      </w:r>
      <w:r>
        <w:rPr>
          <w:bCs/>
          <w:b/>
        </w:rPr>
        <w:t xml:space="preserve">Economist</w:t>
      </w:r>
      <w:r>
        <w:t xml:space="preserve"> </w:t>
      </w:r>
      <w:r>
        <w:t xml:space="preserve">leading the study will utilize advanced econometric models to analyze the data. Key variables will include:</w:t>
      </w:r>
    </w:p>
    <w:p>
      <w:pPr>
        <w:numPr>
          <w:ilvl w:val="0"/>
          <w:numId w:val="1003"/>
        </w:numPr>
        <w:pStyle w:val="Compact"/>
      </w:pPr>
      <w:r>
        <w:t xml:space="preserve">Consumption smoothing strategies.</w:t>
      </w:r>
    </w:p>
    <w:p>
      <w:pPr>
        <w:numPr>
          <w:ilvl w:val="0"/>
          <w:numId w:val="1003"/>
        </w:numPr>
        <w:pStyle w:val="Compact"/>
      </w:pPr>
      <w:r>
        <w:t xml:space="preserve">Shift towards hard assets (e.g., gold, foreign currency).</w:t>
      </w:r>
    </w:p>
    <w:p>
      <w:pPr>
        <w:numPr>
          <w:ilvl w:val="0"/>
          <w:numId w:val="1003"/>
        </w:numPr>
        <w:pStyle w:val="Compact"/>
      </w:pPr>
      <w:r>
        <w:t xml:space="preserve">Changes in labor supply decisions.</w:t>
      </w:r>
    </w:p>
    <w:p>
      <w:pPr>
        <w:pStyle w:val="FirstParagraph"/>
      </w:pPr>
      <w:r>
        <w:t xml:space="preserve">Statistical analysis will be performed using R and Stata software. The results will be triangulated with macroeconomic data from the Central Bank of Iran to provide a holistic view of the economic impact.</w:t>
      </w:r>
    </w:p>
    <w:bookmarkEnd w:id="29"/>
    <w:bookmarkStart w:id="30" w:name="ethical-considerations"/>
    <w:p>
      <w:pPr>
        <w:pStyle w:val="Heading2"/>
      </w:pPr>
      <w:r>
        <w:t xml:space="preserve">6. Ethical Considerations</w:t>
      </w:r>
    </w:p>
    <w:p>
      <w:pPr>
        <w:pStyle w:val="FirstParagraph"/>
      </w:pPr>
      <w:r>
        <w:t xml:space="preserve">This</w:t>
      </w:r>
      <w:r>
        <w:t xml:space="preserve"> </w:t>
      </w:r>
      <w:r>
        <w:rPr>
          <w:bCs/>
          <w:b/>
        </w:rPr>
        <w:t xml:space="preserve">Experiment Protocol</w:t>
      </w:r>
      <w:r>
        <w:t xml:space="preserve"> </w:t>
      </w:r>
      <w:r>
        <w:t xml:space="preserve">adheres to strict ethical guidelines. All participants will provide informed consent in Persian, ensuring they understand the nature of the study. Participation is voluntary, and participants can withdraw at any time without penalty.</w:t>
      </w:r>
    </w:p>
    <w:p>
      <w:pPr>
        <w:pStyle w:val="BodyText"/>
      </w:pPr>
      <w:r>
        <w:t xml:space="preserve">Special care will be taken to ensure that the simulated economic shocks do not cause undue psychological distress. Additionally, all data will be anonymized to protect the privacy of participants, particularly given the sensitive nature of financial data in</w:t>
      </w:r>
      <w:r>
        <w:t xml:space="preserve"> </w:t>
      </w:r>
      <w:r>
        <w:rPr>
          <w:bCs/>
          <w:b/>
        </w:rPr>
        <w:t xml:space="preserve">Tehran, Iran</w:t>
      </w:r>
      <w:r>
        <w:t xml:space="preserve">.</w:t>
      </w:r>
    </w:p>
    <w:bookmarkEnd w:id="30"/>
    <w:bookmarkStart w:id="31" w:name="risk-management"/>
    <w:p>
      <w:pPr>
        <w:pStyle w:val="Heading2"/>
      </w:pPr>
      <w:r>
        <w:t xml:space="preserve">7. Risk Management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Risk</w:t>
            </w:r>
          </w:p>
        </w:tc>
        <w:tc>
          <w:tcPr/>
          <w:p>
            <w:pPr>
              <w:pStyle w:val="Compact"/>
              <w:jc w:val="left"/>
            </w:pPr>
            <w:r>
              <w:t xml:space="preserve">Mitigation Strategy</w:t>
            </w:r>
          </w:p>
        </w:tc>
      </w:tr>
      <w:tr>
        <w:tc>
          <w:tcPr/>
          <w:p>
            <w:pPr>
              <w:pStyle w:val="Compact"/>
              <w:jc w:val="left"/>
            </w:pPr>
            <w:r>
              <w:t xml:space="preserve">Political instability affecting fieldwork</w:t>
            </w:r>
          </w:p>
        </w:tc>
        <w:tc>
          <w:tcPr/>
          <w:p>
            <w:pPr>
              <w:pStyle w:val="Compact"/>
              <w:jc w:val="left"/>
            </w:pPr>
            <w:r>
              <w:t xml:space="preserve">Flexible scheduling and remote data collection options.</w:t>
            </w:r>
          </w:p>
        </w:tc>
      </w:tr>
      <w:tr>
        <w:tc>
          <w:tcPr/>
          <w:p>
            <w:pPr>
              <w:pStyle w:val="Compact"/>
              <w:jc w:val="left"/>
            </w:pPr>
            <w:r>
              <w:t xml:space="preserve">Currency volatility impacting incentives</w:t>
            </w:r>
          </w:p>
        </w:tc>
        <w:tc>
          <w:tcPr/>
          <w:p>
            <w:pPr>
              <w:pStyle w:val="Compact"/>
              <w:jc w:val="left"/>
            </w:pPr>
            <w:r>
              <w:t xml:space="preserve">Incentives will be paid in stable digital tokens or adjusted weekly based on market rates.</w:t>
            </w:r>
          </w:p>
        </w:tc>
      </w:tr>
      <w:tr>
        <w:tc>
          <w:tcPr/>
          <w:p>
            <w:pPr>
              <w:pStyle w:val="Compact"/>
              <w:jc w:val="left"/>
            </w:pPr>
            <w:r>
              <w:t xml:space="preserve">Data security breaches</w:t>
            </w:r>
          </w:p>
        </w:tc>
        <w:tc>
          <w:tcPr/>
          <w:p>
            <w:pPr>
              <w:pStyle w:val="Compact"/>
              <w:jc w:val="left"/>
            </w:pPr>
            <w:r>
              <w:t xml:space="preserve">End-to-end encryption and local server storage within</w:t>
            </w:r>
            <w:r>
              <w:t xml:space="preserve"> </w:t>
            </w:r>
            <w:r>
              <w:rPr>
                <w:bCs/>
                <w:b/>
              </w:rPr>
              <w:t xml:space="preserve">Iran</w:t>
            </w:r>
            <w:r>
              <w:t xml:space="preserve">.</w:t>
            </w:r>
          </w:p>
        </w:tc>
      </w:tr>
    </w:tbl>
    <w:bookmarkEnd w:id="31"/>
    <w:bookmarkStart w:id="32" w:name="conclusion"/>
    <w:p>
      <w:pPr>
        <w:pStyle w:val="Heading2"/>
      </w:pPr>
      <w:r>
        <w:t xml:space="preserve">8. Conclusion</w:t>
      </w:r>
    </w:p>
    <w:p>
      <w:pPr>
        <w:pStyle w:val="FirstParagraph"/>
      </w:pPr>
      <w:r>
        <w:t xml:space="preserve">This</w:t>
      </w:r>
      <w:r>
        <w:t xml:space="preserve"> </w:t>
      </w:r>
      <w:r>
        <w:rPr>
          <w:bCs/>
          <w:b/>
        </w:rPr>
        <w:t xml:space="preserve">Experiment Protocol</w:t>
      </w:r>
      <w:r>
        <w:t xml:space="preserve"> </w:t>
      </w:r>
      <w:r>
        <w:t xml:space="preserve">represents a rigorous approach to understanding the microeconomic behaviors of households in</w:t>
      </w:r>
      <w:r>
        <w:t xml:space="preserve"> </w:t>
      </w:r>
      <w:r>
        <w:rPr>
          <w:bCs/>
          <w:b/>
        </w:rPr>
        <w:t xml:space="preserve">Tehran, Iran</w:t>
      </w:r>
      <w:r>
        <w:t xml:space="preserve">. By combining controlled experiments with real-world data, the</w:t>
      </w:r>
      <w:r>
        <w:t xml:space="preserve"> </w:t>
      </w:r>
      <w:r>
        <w:rPr>
          <w:bCs/>
          <w:b/>
        </w:rPr>
        <w:t xml:space="preserve">Economist</w:t>
      </w:r>
      <w:r>
        <w:t xml:space="preserve"> </w:t>
      </w:r>
      <w:r>
        <w:t xml:space="preserve">leading this study aims to provide actionable insights that can help policymakers design more effective economic interventions. The findings will contribute to the broader literature on behavioral economics in emerging markets and high-inflation environments.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Behavioral Economics in Tehran, Iran</dc:title>
  <dc:creator/>
  <dc:language>en</dc:language>
  <cp:keywords/>
  <dcterms:created xsi:type="dcterms:W3CDTF">2026-10-10T09:52:54Z</dcterms:created>
  <dcterms:modified xsi:type="dcterms:W3CDTF">2026-10-10T09:52:54Z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