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Resilience</w:t>
      </w:r>
      <w:r>
        <w:t xml:space="preserve"> </w:t>
      </w:r>
      <w:r>
        <w:t xml:space="preserve">and</w:t>
      </w:r>
      <w:r>
        <w:t xml:space="preserve"> </w:t>
      </w:r>
      <w:r>
        <w:t xml:space="preserve">Informal</w:t>
      </w:r>
      <w:r>
        <w:t xml:space="preserve"> </w:t>
      </w:r>
      <w:r>
        <w:t xml:space="preserve">Market</w:t>
      </w:r>
      <w:r>
        <w:t xml:space="preserve"> </w:t>
      </w:r>
      <w:r>
        <w:t xml:space="preserve">Dynamics</w:t>
      </w:r>
      <w:r>
        <w:t xml:space="preserve"> </w:t>
      </w:r>
      <w:r>
        <w:t xml:space="preserve">in</w:t>
      </w:r>
      <w:r>
        <w:t xml:space="preserve"> </w:t>
      </w:r>
      <w:r>
        <w:t xml:space="preserve">Baghdad</w:t>
      </w:r>
    </w:p>
    <w:bookmarkStart w:id="20" w:name="X3afe025d6c3e805537e2f025fd0cff343561c59"/>
    <w:p>
      <w:pPr>
        <w:pStyle w:val="Heading1"/>
      </w:pPr>
      <w:r>
        <w:t xml:space="preserve">Experiment Protocol: Economic Resilience and Informal Market Dynamics in Baghdad</w:t>
      </w:r>
    </w:p>
    <w:p>
      <w:pPr>
        <w:pStyle w:val="FirstParagraph"/>
      </w:pPr>
      <w:r>
        <w:rPr>
          <w:bCs/>
          <w:b/>
        </w:rPr>
        <w:t xml:space="preserve">Protocol ID:</w:t>
      </w:r>
      <w:r>
        <w:t xml:space="preserve"> </w:t>
      </w:r>
      <w:r>
        <w:t xml:space="preserve">BAG-ECON-2024-001</w:t>
      </w:r>
    </w:p>
    <w:p>
      <w:pPr>
        <w:pStyle w:val="BodyText"/>
      </w:pPr>
      <w:r>
        <w:rPr>
          <w:bCs/>
          <w:b/>
        </w:rPr>
        <w:t xml:space="preserve">Principal Investigator:</w:t>
      </w:r>
      <w:r>
        <w:t xml:space="preserve"> </w:t>
      </w:r>
      <w:r>
        <w:t xml:space="preserve">Lead Economist, Regional Development Unit</w:t>
      </w:r>
    </w:p>
    <w:p>
      <w:pPr>
        <w:pStyle w:val="BodyText"/>
      </w:pPr>
      <w:r>
        <w:rPr>
          <w:bCs/>
          <w:b/>
        </w:rPr>
        <w:t xml:space="preserve">Location:</w:t>
      </w:r>
      <w:r>
        <w:t xml:space="preserve"> </w:t>
      </w:r>
      <w:r>
        <w:t xml:space="preserve">Baghdad, Iraq (Specifically: Karrada, Mansour, and Al-Mutanabbi districts)</w:t>
      </w:r>
    </w:p>
    <w:p>
      <w:pPr>
        <w:pStyle w:val="BodyText"/>
      </w:pPr>
      <w:r>
        <w:rPr>
          <w:bCs/>
          <w:b/>
        </w:rPr>
        <w:t xml:space="preserve">Date of Issue:</w:t>
      </w:r>
      <w:r>
        <w:t xml:space="preserve"> </w:t>
      </w:r>
      <w:r>
        <w:t xml:space="preserve">October 26, 2023</w:t>
      </w:r>
    </w:p>
    <w:p>
      <w:pPr>
        <w:pStyle w:val="BodyText"/>
      </w:pPr>
      <w:r>
        <w:rPr>
          <w:bCs/>
          <w:b/>
        </w:rPr>
        <w:t xml:space="preserve">Status:</w:t>
      </w:r>
      <w:r>
        <w:t xml:space="preserve"> </w:t>
      </w:r>
      <w:r>
        <w:t xml:space="preserve">Approved for Field Implementation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conducted by an Economist to analyze the interplay between formal monetary policy and informal market behaviors in Baghdad, Iraq. Baghdad serves as a critical economic hub where state-sanctioned currency exchange rates frequently diverge from parallel market realities. The primary objective is to understand how households and small-to-medium enterprises (SMEs) in Baghdad adapt to currency volatility, inflationary pressures, and liquidity constraints.</w:t>
      </w:r>
    </w:p>
    <w:p>
      <w:pPr>
        <w:pStyle w:val="BodyText"/>
      </w:pPr>
      <w:r>
        <w:t xml:space="preserve">The Economist leading this study will employ a mixed-methods approach, combining randomized controlled trials (RCTs) with qualitative ethnographic observation. This protocol ensures that the data collected is robust, ethically sound, and culturally sensitive to the specific socio-economic environment of Iraq.</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quantify the elasticity of demand for essential goods in Baghdad under varying perceived inflation rates.</w:t>
      </w:r>
    </w:p>
    <w:p>
      <w:pPr>
        <w:numPr>
          <w:ilvl w:val="0"/>
          <w:numId w:val="1001"/>
        </w:numPr>
        <w:pStyle w:val="Compact"/>
      </w:pPr>
      <w:r>
        <w:t xml:space="preserve">To assess the reliance of Baghdad's SMEs on informal credit networks versus formal banking institutions.</w:t>
      </w:r>
    </w:p>
    <w:p>
      <w:pPr>
        <w:numPr>
          <w:ilvl w:val="0"/>
          <w:numId w:val="1001"/>
        </w:numPr>
        <w:pStyle w:val="Compact"/>
      </w:pPr>
      <w:r>
        <w:t xml:space="preserve">To evaluate the impact of digital payment adoption on transaction costs in high-density commercial areas of Baghdad.</w:t>
      </w:r>
    </w:p>
    <w:p>
      <w:pPr>
        <w:numPr>
          <w:ilvl w:val="0"/>
          <w:numId w:val="1001"/>
        </w:numPr>
        <w:pStyle w:val="Compact"/>
      </w:pPr>
      <w:r>
        <w:t xml:space="preserve">To provide the Economist with actionable data to model economic resilience strategies for urban populations in Iraq.</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utilizes a cluster-randomized design. Three distinct districts in Baghdad—Karrada (commercial hub), Mansour (mixed residential/commercial), and Al-Mutanabbi (traditional market)—will serve as clusters. Within each cluster, 200 households and 50 SMEs will be selected using stratified random sampling to ensure representation across income levels.</w:t>
      </w:r>
    </w:p>
    <w:bookmarkEnd w:id="23"/>
    <w:bookmarkStart w:id="24" w:name="intervention"/>
    <w:p>
      <w:pPr>
        <w:pStyle w:val="Heading3"/>
      </w:pPr>
      <w:r>
        <w:t xml:space="preserve">3.2 Intervention</w:t>
      </w:r>
    </w:p>
    <w:p>
      <w:pPr>
        <w:pStyle w:val="FirstParagraph"/>
      </w:pPr>
      <w:r>
        <w:t xml:space="preserve">The Economist will introduce a controlled information intervention. Half of the selected participants will receive accurate, real-time data regarding official inflation rates and currency stability forecasts via SMS and community workshops. The control group will receive no such information. This allows the Economist to measure the "information asymmetry" effect on consumer confidence and spending behavior in Baghdad.</w:t>
      </w:r>
    </w:p>
    <w:bookmarkEnd w:id="24"/>
    <w:bookmarkStart w:id="25" w:name="data-collection-instruments"/>
    <w:p>
      <w:pPr>
        <w:pStyle w:val="Heading3"/>
      </w:pPr>
      <w:r>
        <w:t xml:space="preserve">3.3 Data Collection Instruments</w:t>
      </w:r>
    </w:p>
    <w:p>
      <w:pPr>
        <w:numPr>
          <w:ilvl w:val="0"/>
          <w:numId w:val="1002"/>
        </w:numPr>
        <w:pStyle w:val="Compact"/>
      </w:pPr>
      <w:r>
        <w:rPr>
          <w:bCs/>
          <w:b/>
        </w:rPr>
        <w:t xml:space="preserve">Structured Surveys:</w:t>
      </w:r>
      <w:r>
        <w:t xml:space="preserve"> </w:t>
      </w:r>
      <w:r>
        <w:t xml:space="preserve">Administered in Arabic to capture household expenditure patterns, savings habits, and currency holding preferences.</w:t>
      </w:r>
    </w:p>
    <w:p>
      <w:pPr>
        <w:numPr>
          <w:ilvl w:val="0"/>
          <w:numId w:val="1002"/>
        </w:numPr>
        <w:pStyle w:val="Compact"/>
      </w:pPr>
      <w:r>
        <w:rPr>
          <w:bCs/>
          <w:b/>
        </w:rPr>
        <w:t xml:space="preserve">Price Monitoring:</w:t>
      </w:r>
      <w:r>
        <w:t xml:space="preserve"> </w:t>
      </w:r>
      <w:r>
        <w:t xml:space="preserve">Daily tracking of prices for a standardized basket of goods (rice, oil, electricity costs) across the three districts.</w:t>
      </w:r>
    </w:p>
    <w:p>
      <w:pPr>
        <w:numPr>
          <w:ilvl w:val="0"/>
          <w:numId w:val="1002"/>
        </w:numPr>
        <w:pStyle w:val="Compact"/>
      </w:pPr>
      <w:r>
        <w:rPr>
          <w:bCs/>
          <w:b/>
        </w:rPr>
        <w:t xml:space="preserve">Key Informant Interviews:</w:t>
      </w:r>
      <w:r>
        <w:t xml:space="preserve"> </w:t>
      </w:r>
      <w:r>
        <w:t xml:space="preserve">In-depth discussions with local merchants, money changers, and community leaders in Baghdad to understand informal economic mechanisms.</w:t>
      </w:r>
    </w:p>
    <w:bookmarkEnd w:id="25"/>
    <w:bookmarkEnd w:id="26"/>
    <w:bookmarkStart w:id="27" w:name="operational-procedures-in-baghdad"/>
    <w:p>
      <w:pPr>
        <w:pStyle w:val="Heading2"/>
      </w:pPr>
      <w:r>
        <w:t xml:space="preserve">4. Operational Procedures in Baghdad</w:t>
      </w:r>
    </w:p>
    <w:p>
      <w:pPr>
        <w:pStyle w:val="FirstParagraph"/>
      </w:pPr>
      <w:r>
        <w:t xml:space="preserve">Given the unique context of Iraq, the following operational procedures are mandatory:</w:t>
      </w:r>
    </w:p>
    <w:p>
      <w:pPr>
        <w:numPr>
          <w:ilvl w:val="0"/>
          <w:numId w:val="1003"/>
        </w:numPr>
        <w:pStyle w:val="Compact"/>
      </w:pPr>
      <w:r>
        <w:rPr>
          <w:bCs/>
          <w:b/>
        </w:rPr>
        <w:t xml:space="preserve">Local Partnerships:</w:t>
      </w:r>
      <w:r>
        <w:t xml:space="preserve"> </w:t>
      </w:r>
      <w:r>
        <w:t xml:space="preserve">The Economist must collaborate with local Iraqi universities or NGOs to facilitate access to communities and ensure trust.</w:t>
      </w:r>
    </w:p>
    <w:p>
      <w:pPr>
        <w:numPr>
          <w:ilvl w:val="0"/>
          <w:numId w:val="1003"/>
        </w:numPr>
        <w:pStyle w:val="Compact"/>
      </w:pPr>
      <w:r>
        <w:rPr>
          <w:bCs/>
          <w:b/>
        </w:rPr>
        <w:t xml:space="preserve">Security Protocols:</w:t>
      </w:r>
      <w:r>
        <w:t xml:space="preserve"> </w:t>
      </w:r>
      <w:r>
        <w:t xml:space="preserve">Field teams must adhere to strict security guidelines established by local authorities and international safety standards. Data collection should occur during daylight hours in public or semi-public spaces.</w:t>
      </w:r>
    </w:p>
    <w:p>
      <w:pPr>
        <w:numPr>
          <w:ilvl w:val="0"/>
          <w:numId w:val="1003"/>
        </w:numPr>
        <w:pStyle w:val="Compact"/>
      </w:pPr>
      <w:r>
        <w:rPr>
          <w:bCs/>
          <w:b/>
        </w:rPr>
        <w:t xml:space="preserve">Cultural Sensitivity:</w:t>
      </w:r>
      <w:r>
        <w:t xml:space="preserve"> </w:t>
      </w:r>
      <w:r>
        <w:t xml:space="preserve">All interactions must respect local customs and religious practices. Female participants should be interviewed by female researchers where possible.</w:t>
      </w:r>
    </w:p>
    <w:p>
      <w:pPr>
        <w:numPr>
          <w:ilvl w:val="0"/>
          <w:numId w:val="1003"/>
        </w:numPr>
        <w:pStyle w:val="Compact"/>
      </w:pPr>
      <w:r>
        <w:rPr>
          <w:bCs/>
          <w:b/>
        </w:rPr>
        <w:t xml:space="preserve">Language:</w:t>
      </w:r>
      <w:r>
        <w:t xml:space="preserve"> </w:t>
      </w:r>
      <w:r>
        <w:t xml:space="preserve">All materials must be in clear, accessible Arabic. The Economist should ensure that technical economic terms are translated into concepts understandable to the general public in Baghdad.</w:t>
      </w:r>
    </w:p>
    <w:bookmarkEnd w:id="27"/>
    <w:bookmarkStart w:id="28" w:name="ethical-considerations"/>
    <w:p>
      <w:pPr>
        <w:pStyle w:val="Heading2"/>
      </w:pPr>
      <w:r>
        <w:t xml:space="preserve">5. Ethical Considerations</w:t>
      </w:r>
    </w:p>
    <w:p>
      <w:pPr>
        <w:pStyle w:val="FirstParagraph"/>
      </w:pPr>
      <w:r>
        <w:t xml:space="preserve">This protocol adheres to the highest ethical standards for research involving human subjects.</w:t>
      </w:r>
    </w:p>
    <w:p>
      <w:pPr>
        <w:numPr>
          <w:ilvl w:val="0"/>
          <w:numId w:val="1004"/>
        </w:numPr>
        <w:pStyle w:val="Compact"/>
      </w:pPr>
      <w:r>
        <w:rPr>
          <w:bCs/>
          <w:b/>
        </w:rPr>
        <w:t xml:space="preserve">Informed Consent:</w:t>
      </w:r>
      <w:r>
        <w:t xml:space="preserve"> </w:t>
      </w:r>
      <w:r>
        <w:t xml:space="preserve">All participants must provide written or recorded verbal consent after being fully informed of the study's purpose, risks, and benefits.</w:t>
      </w:r>
    </w:p>
    <w:p>
      <w:pPr>
        <w:numPr>
          <w:ilvl w:val="0"/>
          <w:numId w:val="1004"/>
        </w:numPr>
        <w:pStyle w:val="Compact"/>
      </w:pPr>
      <w:r>
        <w:rPr>
          <w:bCs/>
          <w:b/>
        </w:rPr>
        <w:t xml:space="preserve">Confidentiality:</w:t>
      </w:r>
      <w:r>
        <w:t xml:space="preserve"> </w:t>
      </w:r>
      <w:r>
        <w:t xml:space="preserve">Given the political and economic sensitivity of financial data in Iraq, all participant information will be anonymized and stored on encrypted servers.</w:t>
      </w:r>
    </w:p>
    <w:p>
      <w:pPr>
        <w:numPr>
          <w:ilvl w:val="0"/>
          <w:numId w:val="1004"/>
        </w:numPr>
        <w:pStyle w:val="Compact"/>
      </w:pPr>
      <w:r>
        <w:rPr>
          <w:bCs/>
          <w:b/>
        </w:rPr>
        <w:t xml:space="preserve">Do No Harm:</w:t>
      </w:r>
      <w:r>
        <w:t xml:space="preserve"> </w:t>
      </w:r>
      <w:r>
        <w:t xml:space="preserve">The Economist must ensure that the intervention does not inadvertently cause financial harm or social stigma to participants.</w:t>
      </w:r>
    </w:p>
    <w:p>
      <w:pPr>
        <w:numPr>
          <w:ilvl w:val="0"/>
          <w:numId w:val="1004"/>
        </w:numPr>
        <w:pStyle w:val="Compact"/>
      </w:pPr>
      <w:r>
        <w:rPr>
          <w:bCs/>
          <w:b/>
        </w:rPr>
        <w:t xml:space="preserve">Compensation:</w:t>
      </w:r>
      <w:r>
        <w:t xml:space="preserve"> </w:t>
      </w:r>
      <w:r>
        <w:t xml:space="preserve">Participants will receive a modest stipend for their time, calibrated to local economic conditions in Baghdad to avoid coercion.</w:t>
      </w:r>
    </w:p>
    <w:bookmarkEnd w:id="28"/>
    <w:bookmarkStart w:id="29" w:name="data-analysis-plan"/>
    <w:p>
      <w:pPr>
        <w:pStyle w:val="Heading2"/>
      </w:pPr>
      <w:r>
        <w:t xml:space="preserve">6. Data Analysis Plan</w:t>
      </w:r>
    </w:p>
    <w:p>
      <w:pPr>
        <w:pStyle w:val="FirstParagraph"/>
      </w:pPr>
      <w:r>
        <w:t xml:space="preserve">The Economist will employ econometric modeling to analyze the collected data. Key analytical techniques include:</w:t>
      </w:r>
    </w:p>
    <w:p>
      <w:pPr>
        <w:numPr>
          <w:ilvl w:val="0"/>
          <w:numId w:val="1005"/>
        </w:numPr>
        <w:pStyle w:val="Compact"/>
      </w:pPr>
      <w:r>
        <w:rPr>
          <w:bCs/>
          <w:b/>
        </w:rPr>
        <w:t xml:space="preserve">Difference-in-Differences (DiD):</w:t>
      </w:r>
      <w:r>
        <w:t xml:space="preserve"> </w:t>
      </w:r>
      <w:r>
        <w:t xml:space="preserve">To compare changes in outcomes between the treatment and control groups over time.</w:t>
      </w:r>
    </w:p>
    <w:p>
      <w:pPr>
        <w:numPr>
          <w:ilvl w:val="0"/>
          <w:numId w:val="1005"/>
        </w:numPr>
        <w:pStyle w:val="Compact"/>
      </w:pPr>
      <w:r>
        <w:rPr>
          <w:bCs/>
          <w:b/>
        </w:rPr>
        <w:t xml:space="preserve">Regression Analysis:</w:t>
      </w:r>
      <w:r>
        <w:t xml:space="preserve"> </w:t>
      </w:r>
      <w:r>
        <w:t xml:space="preserve">To identify correlations between information access and economic decision-making.</w:t>
      </w:r>
    </w:p>
    <w:p>
      <w:pPr>
        <w:numPr>
          <w:ilvl w:val="0"/>
          <w:numId w:val="1005"/>
        </w:numPr>
        <w:pStyle w:val="Compact"/>
      </w:pPr>
      <w:r>
        <w:rPr>
          <w:bCs/>
          <w:b/>
        </w:rPr>
        <w:t xml:space="preserve">Qualitative Coding:</w:t>
      </w:r>
      <w:r>
        <w:t xml:space="preserve"> </w:t>
      </w:r>
      <w:r>
        <w:t xml:space="preserve">To thematically analyze interview transcripts and identify recurring patterns in informal economic behavior.</w:t>
      </w:r>
    </w:p>
    <w:p>
      <w:pPr>
        <w:pStyle w:val="FirstParagraph"/>
      </w:pPr>
      <w:r>
        <w:t xml:space="preserve">The analysis will specifically focus on how Baghdad's unique dual-currency system influences these outcomes.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1-4</w:t>
            </w:r>
          </w:p>
        </w:tc>
        <w:tc>
          <w:tcPr/>
          <w:p>
            <w:pPr>
              <w:pStyle w:val="Compact"/>
              <w:jc w:val="left"/>
            </w:pPr>
            <w:r>
              <w:t xml:space="preserve">Team recruitment, translation, ethical approval, local partnerships.</w:t>
            </w:r>
          </w:p>
        </w:tc>
      </w:tr>
      <w:tr>
        <w:tc>
          <w:tcPr/>
          <w:p>
            <w:pPr>
              <w:pStyle w:val="Compact"/>
              <w:jc w:val="left"/>
            </w:pPr>
            <w:r>
              <w:t xml:space="preserve">Baseline Survey</w:t>
            </w:r>
          </w:p>
        </w:tc>
        <w:tc>
          <w:tcPr/>
          <w:p>
            <w:pPr>
              <w:pStyle w:val="Compact"/>
              <w:jc w:val="left"/>
            </w:pPr>
            <w:r>
              <w:t xml:space="preserve">Weeks 5-8</w:t>
            </w:r>
          </w:p>
        </w:tc>
        <w:tc>
          <w:tcPr/>
          <w:p>
            <w:pPr>
              <w:pStyle w:val="Compact"/>
              <w:jc w:val="left"/>
            </w:pPr>
            <w:r>
              <w:t xml:space="preserve">Data collection in Baghdad districts before intervention.</w:t>
            </w:r>
          </w:p>
        </w:tc>
      </w:tr>
      <w:tr>
        <w:tc>
          <w:tcPr/>
          <w:p>
            <w:pPr>
              <w:pStyle w:val="Compact"/>
              <w:jc w:val="left"/>
            </w:pPr>
            <w:r>
              <w:t xml:space="preserve">Intervention</w:t>
            </w:r>
          </w:p>
        </w:tc>
        <w:tc>
          <w:tcPr/>
          <w:p>
            <w:pPr>
              <w:pStyle w:val="Compact"/>
              <w:jc w:val="left"/>
            </w:pPr>
            <w:r>
              <w:t xml:space="preserve">Weeks 9-16</w:t>
            </w:r>
          </w:p>
        </w:tc>
        <w:tc>
          <w:tcPr/>
          <w:p>
            <w:pPr>
              <w:pStyle w:val="Compact"/>
              <w:jc w:val="left"/>
            </w:pPr>
            <w:r>
              <w:t xml:space="preserve">Implementation of information campaign for treatment group.</w:t>
            </w:r>
          </w:p>
        </w:tc>
      </w:tr>
      <w:tr>
        <w:tc>
          <w:tcPr/>
          <w:p>
            <w:pPr>
              <w:pStyle w:val="Compact"/>
              <w:jc w:val="left"/>
            </w:pPr>
            <w:r>
              <w:t xml:space="preserve">Follow-up Survey</w:t>
            </w:r>
          </w:p>
        </w:tc>
        <w:tc>
          <w:tcPr/>
          <w:p>
            <w:pPr>
              <w:pStyle w:val="Compact"/>
              <w:jc w:val="left"/>
            </w:pPr>
            <w:r>
              <w:t xml:space="preserve">Weeks 17-20</w:t>
            </w:r>
          </w:p>
        </w:tc>
        <w:tc>
          <w:tcPr/>
          <w:p>
            <w:pPr>
              <w:pStyle w:val="Compact"/>
              <w:jc w:val="left"/>
            </w:pPr>
            <w:r>
              <w:t xml:space="preserve">Post-intervention data collection.</w:t>
            </w:r>
          </w:p>
        </w:tc>
      </w:tr>
      <w:tr>
        <w:tc>
          <w:tcPr/>
          <w:p>
            <w:pPr>
              <w:pStyle w:val="Compact"/>
              <w:jc w:val="left"/>
            </w:pPr>
            <w:r>
              <w:t xml:space="preserve">Analysis &amp; Reporting</w:t>
            </w:r>
          </w:p>
        </w:tc>
        <w:tc>
          <w:tcPr/>
          <w:p>
            <w:pPr>
              <w:pStyle w:val="Compact"/>
              <w:jc w:val="left"/>
            </w:pPr>
            <w:r>
              <w:t xml:space="preserve">Weeks 21-24</w:t>
            </w:r>
          </w:p>
        </w:tc>
        <w:tc>
          <w:tcPr/>
          <w:p>
            <w:pPr>
              <w:pStyle w:val="Compact"/>
              <w:jc w:val="left"/>
            </w:pPr>
            <w:r>
              <w:t xml:space="preserve">Data analysis by the Economist and drafting of final report.</w:t>
            </w:r>
          </w:p>
        </w:tc>
      </w:tr>
    </w:tbl>
    <w:bookmarkEnd w:id="30"/>
    <w:bookmarkStart w:id="31" w:name="risk-management"/>
    <w:p>
      <w:pPr>
        <w:pStyle w:val="Heading2"/>
      </w:pPr>
      <w:r>
        <w:t xml:space="preserve">8. Risk Management</w:t>
      </w:r>
    </w:p>
    <w:p>
      <w:pPr>
        <w:pStyle w:val="FirstParagraph"/>
      </w:pPr>
      <w:r>
        <w:rPr>
          <w:bCs/>
          <w:b/>
        </w:rPr>
        <w:t xml:space="preserve">Key Risks:</w:t>
      </w:r>
      <w:r>
        <w:t xml:space="preserve"> </w:t>
      </w:r>
      <w:r>
        <w:t xml:space="preserve">Political instability, security incidents, data corruption, participant dropout.</w:t>
      </w:r>
    </w:p>
    <w:p>
      <w:pPr>
        <w:pStyle w:val="BodyText"/>
      </w:pPr>
      <w:r>
        <w:t xml:space="preserve">Mitigation strategies include maintaining flexible field schedules, using redundant data storage systems, and establishing clear communication channels with local stakeholders in Iraq. The Economist must regularly review and update the risk assessment throughout the experiment.</w:t>
      </w:r>
    </w:p>
    <w:bookmarkEnd w:id="31"/>
    <w:bookmarkStart w:id="32" w:name="conclusion"/>
    <w:p>
      <w:pPr>
        <w:pStyle w:val="Heading2"/>
      </w:pPr>
      <w:r>
        <w:t xml:space="preserve">9. Conclusion</w:t>
      </w:r>
    </w:p>
    <w:p>
      <w:pPr>
        <w:pStyle w:val="FirstParagraph"/>
      </w:pPr>
      <w:r>
        <w:t xml:space="preserve">This Experiment Protocol provides a comprehensive framework for the Economist to conduct rigorous, ethical, and contextually relevant research in Baghdad, Iraq. By understanding the micro-economic behaviors of Baghdad's residents, this study aims to contribute valuable insights to the broader discourse on economic development and resilience in emerging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Resilience and Informal Market Dynamics in Baghdad</dc:title>
  <dc:creator/>
  <dc:language>en</dc:language>
  <cp:keywords/>
  <dcterms:created xsi:type="dcterms:W3CDTF">2026-10-10T06:48:54Z</dcterms:created>
  <dcterms:modified xsi:type="dcterms:W3CDTF">2026-10-10T06:48:54Z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