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Behavioral</w:t>
      </w:r>
      <w:r>
        <w:t xml:space="preserve"> </w:t>
      </w:r>
      <w:r>
        <w:t xml:space="preserve">Economics</w:t>
      </w:r>
      <w:r>
        <w:t xml:space="preserve"> </w:t>
      </w:r>
      <w:r>
        <w:t xml:space="preserve">in</w:t>
      </w:r>
      <w:r>
        <w:t xml:space="preserve"> </w:t>
      </w:r>
      <w:r>
        <w:t xml:space="preserve">Jerusalem</w:t>
      </w:r>
    </w:p>
    <w:bookmarkStart w:id="21" w:name="experiment-protocol"/>
    <w:p>
      <w:pPr>
        <w:pStyle w:val="Heading1"/>
      </w:pPr>
      <w:r>
        <w:t xml:space="preserve">Experiment Protocol</w:t>
      </w:r>
    </w:p>
    <w:bookmarkStart w:id="20" w:name="Xb88f2d85520dea93e4f9ab8e152a63b58855ea0"/>
    <w:p>
      <w:pPr>
        <w:pStyle w:val="Heading2"/>
      </w:pPr>
      <w:r>
        <w:t xml:space="preserve">Project Title: Behavioral Responses to Fiscal Incentives in Urban Environments</w:t>
      </w:r>
    </w:p>
    <w:p>
      <w:pPr>
        <w:pStyle w:val="FirstParagraph"/>
      </w:pPr>
      <w:r>
        <w:rPr>
          <w:bCs/>
          <w:b/>
        </w:rPr>
        <w:t xml:space="preserve">Protocol ID:</w:t>
      </w:r>
      <w:r>
        <w:t xml:space="preserve"> </w:t>
      </w:r>
      <w:r>
        <w:t xml:space="preserve">JER-ECON-2024-001</w:t>
      </w:r>
    </w:p>
    <w:p>
      <w:pPr>
        <w:pStyle w:val="BodyText"/>
      </w:pPr>
      <w:r>
        <w:rPr>
          <w:bCs/>
          <w:b/>
        </w:rPr>
        <w:t xml:space="preserve">Principal Investigator:</w:t>
      </w:r>
      <w:r>
        <w:t xml:space="preserve"> </w:t>
      </w:r>
      <w:r>
        <w:t xml:space="preserve">Lead Economist, Department of Urban Economics</w:t>
      </w:r>
    </w:p>
    <w:p>
      <w:pPr>
        <w:pStyle w:val="BodyText"/>
      </w:pPr>
      <w:r>
        <w:rPr>
          <w:bCs/>
          <w:b/>
        </w:rPr>
        <w:t xml:space="preserve">Location:</w:t>
      </w:r>
      <w:r>
        <w:t xml:space="preserve"> </w:t>
      </w:r>
      <w:r>
        <w:t xml:space="preserve">Israel, Jerusalem (Municipal Districts 1, 2, and 3)</w:t>
      </w:r>
    </w:p>
    <w:p>
      <w:pPr>
        <w:pStyle w:val="BodyText"/>
      </w:pPr>
      <w:r>
        <w:rPr>
          <w:bCs/>
          <w:b/>
        </w:rPr>
        <w:t xml:space="preserve">Date of Issue:</w:t>
      </w:r>
      <w:r>
        <w:t xml:space="preserve"> </w:t>
      </w:r>
      <w:r>
        <w:t xml:space="preserve">October 24, 2024</w:t>
      </w:r>
    </w:p>
    <w:p>
      <w:pPr>
        <w:pStyle w:val="BodyText"/>
      </w:pPr>
      <w:r>
        <w:rPr>
          <w:bCs/>
          <w:b/>
        </w:rPr>
        <w:t xml:space="preserve">Status:</w:t>
      </w:r>
      <w:r>
        <w:t xml:space="preserve"> </w:t>
      </w:r>
      <w:r>
        <w:t xml:space="preserve">Approved for Field Implementation</w:t>
      </w:r>
    </w:p>
    <w:bookmarkEnd w:id="20"/>
    <w:bookmarkEnd w:id="21"/>
    <w:bookmarkStart w:id="22" w:name="introduction-and-background"/>
    <w:p>
      <w:pPr>
        <w:pStyle w:val="Heading2"/>
      </w:pPr>
      <w:r>
        <w:t xml:space="preserve">1. Introduction and Background</w:t>
      </w:r>
    </w:p>
    <w:p>
      <w:pPr>
        <w:pStyle w:val="FirstParagraph"/>
      </w:pPr>
      <w:r>
        <w:t xml:space="preserve">This</w:t>
      </w:r>
      <w:r>
        <w:t xml:space="preserve"> </w:t>
      </w:r>
      <w:r>
        <w:rPr>
          <w:bCs/>
          <w:b/>
        </w:rPr>
        <w:t xml:space="preserve">Experiment Protocol</w:t>
      </w:r>
      <w:r>
        <w:t xml:space="preserve"> </w:t>
      </w:r>
      <w:r>
        <w:t xml:space="preserve">outlines the methodology for a field study designed to analyze the decision-making processes of consumers and small business owners within the unique socio-economic landscape of</w:t>
      </w:r>
      <w:r>
        <w:t xml:space="preserve"> </w:t>
      </w:r>
      <w:r>
        <w:rPr>
          <w:bCs/>
          <w:b/>
        </w:rPr>
        <w:t xml:space="preserve">Israel Jerusalem</w:t>
      </w:r>
      <w:r>
        <w:t xml:space="preserve">. As a city characterized by a complex interplay of religious, cultural, and secular influences, Jerusalem presents a distinct environment for economic analysis. The primary objective is to determine how specific fiscal incentives influence market behavior, resource allocation, and cooperative strategies among diverse demographic groups.</w:t>
      </w:r>
    </w:p>
    <w:p>
      <w:pPr>
        <w:pStyle w:val="BodyText"/>
      </w:pPr>
      <w:r>
        <w:t xml:space="preserve">The</w:t>
      </w:r>
      <w:r>
        <w:t xml:space="preserve"> </w:t>
      </w:r>
      <w:r>
        <w:rPr>
          <w:bCs/>
          <w:b/>
        </w:rPr>
        <w:t xml:space="preserve">Economist</w:t>
      </w:r>
      <w:r>
        <w:t xml:space="preserve"> </w:t>
      </w:r>
      <w:r>
        <w:t xml:space="preserve">leading this study posits that traditional economic models often fail to account for the cultural heterogeneity present in Jerusalem. Therefore, this experiment aims to bridge the gap between theoretical microeconomics and observed behavioral patterns in a real-world setting. By implementing controlled interventions in public markets and commercial zones, we seek to gather empirical data that can inform future municipal policy and economic development strategies.</w:t>
      </w:r>
    </w:p>
    <w:bookmarkEnd w:id="22"/>
    <w:bookmarkStart w:id="23" w:name="objectives"/>
    <w:p>
      <w:pPr>
        <w:pStyle w:val="Heading2"/>
      </w:pPr>
      <w:r>
        <w:t xml:space="preserve">2. Objectives</w:t>
      </w:r>
    </w:p>
    <w:p>
      <w:pPr>
        <w:pStyle w:val="FirstParagraph"/>
      </w:pPr>
      <w:r>
        <w:t xml:space="preserve">The primary goals of this</w:t>
      </w:r>
      <w:r>
        <w:t xml:space="preserve"> </w:t>
      </w:r>
      <w:r>
        <w:rPr>
          <w:bCs/>
          <w:b/>
        </w:rPr>
        <w:t xml:space="preserve">Experiment Protocol</w:t>
      </w:r>
      <w:r>
        <w:t xml:space="preserve"> </w:t>
      </w:r>
      <w:r>
        <w:t xml:space="preserve">are as follows:</w:t>
      </w:r>
    </w:p>
    <w:p>
      <w:pPr>
        <w:numPr>
          <w:ilvl w:val="0"/>
          <w:numId w:val="1001"/>
        </w:numPr>
        <w:pStyle w:val="Compact"/>
      </w:pPr>
      <w:r>
        <w:t xml:space="preserve">To measure the elasticity of demand for essential goods when subjected to temporary, randomized price subsidies in</w:t>
      </w:r>
      <w:r>
        <w:t xml:space="preserve"> </w:t>
      </w:r>
      <w:r>
        <w:rPr>
          <w:bCs/>
          <w:b/>
        </w:rPr>
        <w:t xml:space="preserve">Israel Jerusalem</w:t>
      </w:r>
      <w:r>
        <w:t xml:space="preserve">.</w:t>
      </w:r>
    </w:p>
    <w:p>
      <w:pPr>
        <w:numPr>
          <w:ilvl w:val="0"/>
          <w:numId w:val="1001"/>
        </w:numPr>
        <w:pStyle w:val="Compact"/>
      </w:pPr>
      <w:r>
        <w:t xml:space="preserve">To evaluate the impact of information asymmetry on pricing strategies among vendors in the Mahane Yehuda Market.</w:t>
      </w:r>
    </w:p>
    <w:p>
      <w:pPr>
        <w:numPr>
          <w:ilvl w:val="0"/>
          <w:numId w:val="1001"/>
        </w:numPr>
        <w:pStyle w:val="Compact"/>
      </w:pPr>
      <w:r>
        <w:t xml:space="preserve">To assess the role of social norms and trust in facilitating economic transactions between different community groups within the city.</w:t>
      </w:r>
    </w:p>
    <w:p>
      <w:pPr>
        <w:numPr>
          <w:ilvl w:val="0"/>
          <w:numId w:val="1001"/>
        </w:numPr>
        <w:pStyle w:val="Compact"/>
      </w:pPr>
      <w:r>
        <w:t xml:space="preserve">To provide the</w:t>
      </w:r>
      <w:r>
        <w:t xml:space="preserve"> </w:t>
      </w:r>
      <w:r>
        <w:rPr>
          <w:bCs/>
          <w:b/>
        </w:rPr>
        <w:t xml:space="preserve">Economist</w:t>
      </w:r>
      <w:r>
        <w:t xml:space="preserve"> </w:t>
      </w:r>
      <w:r>
        <w:t xml:space="preserve">with robust data sets to refine predictive models regarding urban economic resilience.</w:t>
      </w:r>
    </w:p>
    <w:bookmarkEnd w:id="23"/>
    <w:bookmarkStart w:id="28" w:name="methodology"/>
    <w:p>
      <w:pPr>
        <w:pStyle w:val="Heading2"/>
      </w:pPr>
      <w:r>
        <w:t xml:space="preserve">3. Methodology</w:t>
      </w:r>
    </w:p>
    <w:bookmarkStart w:id="24" w:name="study-design"/>
    <w:p>
      <w:pPr>
        <w:pStyle w:val="Heading3"/>
      </w:pPr>
      <w:r>
        <w:t xml:space="preserve">3.1 Study Design</w:t>
      </w:r>
    </w:p>
    <w:p>
      <w:pPr>
        <w:pStyle w:val="FirstParagraph"/>
      </w:pPr>
      <w:r>
        <w:t xml:space="preserve">This study utilizes a Randomized Controlled Trial (RCT) framework. The</w:t>
      </w:r>
      <w:r>
        <w:t xml:space="preserve"> </w:t>
      </w:r>
      <w:r>
        <w:rPr>
          <w:bCs/>
          <w:b/>
        </w:rPr>
        <w:t xml:space="preserve">Economist</w:t>
      </w:r>
      <w:r>
        <w:t xml:space="preserve"> </w:t>
      </w:r>
      <w:r>
        <w:t xml:space="preserve">will oversee the random assignment of participants into treatment and control groups. The experiment will be conducted over a period of six weeks, ensuring that seasonal variations in tourism and local commerce are accounted for.</w:t>
      </w:r>
    </w:p>
    <w:bookmarkEnd w:id="24"/>
    <w:bookmarkStart w:id="25" w:name="location-and-setting"/>
    <w:p>
      <w:pPr>
        <w:pStyle w:val="Heading3"/>
      </w:pPr>
      <w:r>
        <w:t xml:space="preserve">3.2 Location and Setting</w:t>
      </w:r>
    </w:p>
    <w:p>
      <w:pPr>
        <w:pStyle w:val="FirstParagraph"/>
      </w:pPr>
      <w:r>
        <w:t xml:space="preserve">The fieldwork will take place exclusively within</w:t>
      </w:r>
      <w:r>
        <w:t xml:space="preserve"> </w:t>
      </w:r>
      <w:r>
        <w:rPr>
          <w:bCs/>
          <w:b/>
        </w:rPr>
        <w:t xml:space="preserve">Israel Jerusalem</w:t>
      </w:r>
      <w:r>
        <w:t xml:space="preserve">. Specific sites include:</w:t>
      </w:r>
    </w:p>
    <w:p>
      <w:pPr>
        <w:numPr>
          <w:ilvl w:val="0"/>
          <w:numId w:val="1002"/>
        </w:numPr>
        <w:pStyle w:val="Compact"/>
      </w:pPr>
      <w:r>
        <w:rPr>
          <w:bCs/>
          <w:b/>
        </w:rPr>
        <w:t xml:space="preserve">Mahane Yehuda Market:</w:t>
      </w:r>
      <w:r>
        <w:t xml:space="preserve"> </w:t>
      </w:r>
      <w:r>
        <w:t xml:space="preserve">For consumer behavior analysis.</w:t>
      </w:r>
    </w:p>
    <w:p>
      <w:pPr>
        <w:numPr>
          <w:ilvl w:val="0"/>
          <w:numId w:val="1002"/>
        </w:numPr>
        <w:pStyle w:val="Compact"/>
      </w:pPr>
      <w:r>
        <w:rPr>
          <w:bCs/>
          <w:b/>
        </w:rPr>
        <w:t xml:space="preserve">Ben Yehuda Street:</w:t>
      </w:r>
      <w:r>
        <w:t xml:space="preserve"> </w:t>
      </w:r>
      <w:r>
        <w:t xml:space="preserve">For retail pricing and foot traffic correlation.</w:t>
      </w:r>
    </w:p>
    <w:p>
      <w:pPr>
        <w:numPr>
          <w:ilvl w:val="0"/>
          <w:numId w:val="1002"/>
        </w:numPr>
        <w:pStyle w:val="Compact"/>
      </w:pPr>
      <w:r>
        <w:rPr>
          <w:bCs/>
          <w:b/>
        </w:rPr>
        <w:t xml:space="preserve">Selected Neighborhoods (e.g., Katamon, Pisgat Ze'ev):</w:t>
      </w:r>
      <w:r>
        <w:t xml:space="preserve"> </w:t>
      </w:r>
      <w:r>
        <w:t xml:space="preserve">For household budgeting surveys.</w:t>
      </w:r>
    </w:p>
    <w:p>
      <w:pPr>
        <w:pStyle w:val="FirstParagraph"/>
      </w:pPr>
      <w:r>
        <w:t xml:space="preserve">These locations were chosen to ensure a representative sample of the city's diverse economic actors.</w:t>
      </w:r>
    </w:p>
    <w:bookmarkEnd w:id="25"/>
    <w:bookmarkStart w:id="26" w:name="participants"/>
    <w:p>
      <w:pPr>
        <w:pStyle w:val="Heading3"/>
      </w:pPr>
      <w:r>
        <w:t xml:space="preserve">3.3 Participants</w:t>
      </w:r>
    </w:p>
    <w:p>
      <w:pPr>
        <w:pStyle w:val="FirstParagraph"/>
      </w:pPr>
      <w:r>
        <w:t xml:space="preserve">Participants will include adult residents and visitors of</w:t>
      </w:r>
      <w:r>
        <w:t xml:space="preserve"> </w:t>
      </w:r>
      <w:r>
        <w:rPr>
          <w:bCs/>
          <w:b/>
        </w:rPr>
        <w:t xml:space="preserve">Israel Jerusalem</w:t>
      </w:r>
      <w:r>
        <w:t xml:space="preserve">. Inclusion criteria require participants to be at least 18 years of age and fluent in either Hebrew or Arabic to ensure informed consent. The sample size is projected to be 1,200 individuals, stratified by age, income level, and neighborhood of residence.</w:t>
      </w:r>
    </w:p>
    <w:bookmarkEnd w:id="26"/>
    <w:bookmarkStart w:id="27" w:name="intervention"/>
    <w:p>
      <w:pPr>
        <w:pStyle w:val="Heading3"/>
      </w:pPr>
      <w:r>
        <w:t xml:space="preserve">3.4 Intervention</w:t>
      </w:r>
    </w:p>
    <w:p>
      <w:pPr>
        <w:pStyle w:val="FirstParagraph"/>
      </w:pPr>
      <w:r>
        <w:t xml:space="preserve">The core intervention involves the distribution of digital vouchers with specific usage constraints. The</w:t>
      </w:r>
      <w:r>
        <w:t xml:space="preserve"> </w:t>
      </w:r>
      <w:r>
        <w:rPr>
          <w:bCs/>
          <w:b/>
        </w:rPr>
        <w:t xml:space="preserve">Economist</w:t>
      </w:r>
      <w:r>
        <w:t xml:space="preserve"> </w:t>
      </w:r>
      <w:r>
        <w:t xml:space="preserve">has designed three variations of these vouchers to test different economic hypotheses: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Voucher Type</w:t>
            </w:r>
          </w:p>
        </w:tc>
        <w:tc>
          <w:tcPr/>
          <w:p>
            <w:pPr>
              <w:pStyle w:val="Compact"/>
              <w:jc w:val="left"/>
            </w:pPr>
            <w:r>
              <w:t xml:space="preserve">Description</w:t>
            </w:r>
          </w:p>
        </w:tc>
        <w:tc>
          <w:tcPr/>
          <w:p>
            <w:pPr>
              <w:pStyle w:val="Compact"/>
              <w:jc w:val="left"/>
            </w:pPr>
            <w:r>
              <w:t xml:space="preserve">Economic Hypothesis</w:t>
            </w:r>
          </w:p>
        </w:tc>
      </w:tr>
      <w:tr>
        <w:tc>
          <w:tcPr/>
          <w:p>
            <w:pPr>
              <w:pStyle w:val="Compact"/>
              <w:jc w:val="left"/>
            </w:pPr>
            <w:r>
              <w:t xml:space="preserve">Type A</w:t>
            </w:r>
          </w:p>
        </w:tc>
        <w:tc>
          <w:tcPr/>
          <w:p>
            <w:pPr>
              <w:pStyle w:val="Compact"/>
              <w:jc w:val="left"/>
            </w:pPr>
            <w:r>
              <w:t xml:space="preserve">Unrestricted cash equivalent.</w:t>
            </w:r>
          </w:p>
        </w:tc>
        <w:tc>
          <w:tcPr/>
          <w:p>
            <w:pPr>
              <w:pStyle w:val="Compact"/>
              <w:jc w:val="left"/>
            </w:pPr>
            <w:r>
              <w:t xml:space="preserve">Baseline utility maximization.</w:t>
            </w:r>
          </w:p>
        </w:tc>
      </w:tr>
      <w:tr>
        <w:tc>
          <w:tcPr/>
          <w:p>
            <w:pPr>
              <w:pStyle w:val="Compact"/>
              <w:jc w:val="left"/>
            </w:pPr>
            <w:r>
              <w:t xml:space="preserve">Type B</w:t>
            </w:r>
          </w:p>
        </w:tc>
        <w:tc>
          <w:tcPr/>
          <w:p>
            <w:pPr>
              <w:pStyle w:val="Compact"/>
              <w:jc w:val="left"/>
            </w:pPr>
            <w:r>
              <w:t xml:space="preserve">Restricted to local small businesses only.</w:t>
            </w:r>
          </w:p>
        </w:tc>
        <w:tc>
          <w:tcPr/>
          <w:p>
            <w:pPr>
              <w:pStyle w:val="Compact"/>
              <w:jc w:val="left"/>
            </w:pPr>
            <w:r>
              <w:t xml:space="preserve">Impact of localization on spending velocity.</w:t>
            </w:r>
          </w:p>
        </w:tc>
      </w:tr>
      <w:tr>
        <w:tc>
          <w:tcPr/>
          <w:p>
            <w:pPr>
              <w:pStyle w:val="Compact"/>
              <w:jc w:val="left"/>
            </w:pPr>
            <w:r>
              <w:t xml:space="preserve">Type C</w:t>
            </w:r>
          </w:p>
        </w:tc>
        <w:tc>
          <w:tcPr/>
          <w:p>
            <w:pPr>
              <w:pStyle w:val="Compact"/>
              <w:jc w:val="left"/>
            </w:pPr>
            <w:r>
              <w:t xml:space="preserve">Matched funding if spent on educational goods.</w:t>
            </w:r>
          </w:p>
        </w:tc>
        <w:tc>
          <w:tcPr/>
          <w:p>
            <w:pPr>
              <w:pStyle w:val="Compact"/>
              <w:jc w:val="left"/>
            </w:pPr>
            <w:r>
              <w:t xml:space="preserve">Response to targeted fiscal incentives.</w:t>
            </w:r>
          </w:p>
        </w:tc>
      </w:tr>
    </w:tbl>
    <w:bookmarkEnd w:id="27"/>
    <w:bookmarkEnd w:id="28"/>
    <w:bookmarkStart w:id="29" w:name="data-collection-procedures"/>
    <w:p>
      <w:pPr>
        <w:pStyle w:val="Heading2"/>
      </w:pPr>
      <w:r>
        <w:t xml:space="preserve">4. Data Collection Procedures</w:t>
      </w:r>
    </w:p>
    <w:p>
      <w:pPr>
        <w:pStyle w:val="FirstParagraph"/>
      </w:pPr>
      <w:r>
        <w:t xml:space="preserve">Data collection will be managed by trained research assistants under the direct supervision of the</w:t>
      </w:r>
      <w:r>
        <w:t xml:space="preserve"> </w:t>
      </w:r>
      <w:r>
        <w:rPr>
          <w:bCs/>
          <w:b/>
        </w:rPr>
        <w:t xml:space="preserve">Economist</w:t>
      </w:r>
      <w:r>
        <w:t xml:space="preserve">. The following methods will be employed:</w:t>
      </w:r>
    </w:p>
    <w:p>
      <w:pPr>
        <w:numPr>
          <w:ilvl w:val="0"/>
          <w:numId w:val="1003"/>
        </w:numPr>
        <w:pStyle w:val="Compact"/>
      </w:pPr>
      <w:r>
        <w:rPr>
          <w:bCs/>
          <w:b/>
        </w:rPr>
        <w:t xml:space="preserve">Transaction Logs:</w:t>
      </w:r>
      <w:r>
        <w:t xml:space="preserve"> </w:t>
      </w:r>
      <w:r>
        <w:t xml:space="preserve">Digital tracking of voucher redemption to analyze spending patterns.</w:t>
      </w:r>
    </w:p>
    <w:p>
      <w:pPr>
        <w:numPr>
          <w:ilvl w:val="0"/>
          <w:numId w:val="1003"/>
        </w:numPr>
        <w:pStyle w:val="Compact"/>
      </w:pPr>
      <w:r>
        <w:rPr>
          <w:bCs/>
          <w:b/>
        </w:rPr>
        <w:t xml:space="preserve">Surveys:</w:t>
      </w:r>
      <w:r>
        <w:t xml:space="preserve"> </w:t>
      </w:r>
      <w:r>
        <w:t xml:space="preserve">Pre- and post-experiment questionnaires to gauge changes in consumer confidence and economic sentiment.</w:t>
      </w:r>
    </w:p>
    <w:p>
      <w:pPr>
        <w:numPr>
          <w:ilvl w:val="0"/>
          <w:numId w:val="1003"/>
        </w:numPr>
        <w:pStyle w:val="Compact"/>
      </w:pPr>
      <w:r>
        <w:rPr>
          <w:bCs/>
          <w:b/>
        </w:rPr>
        <w:t xml:space="preserve">Vendor Interviews:</w:t>
      </w:r>
      <w:r>
        <w:t xml:space="preserve"> </w:t>
      </w:r>
      <w:r>
        <w:t xml:space="preserve">Semi-structured interviews with merchants in</w:t>
      </w:r>
      <w:r>
        <w:t xml:space="preserve"> </w:t>
      </w:r>
      <w:r>
        <w:rPr>
          <w:bCs/>
          <w:b/>
        </w:rPr>
        <w:t xml:space="preserve">Israel Jerusalem</w:t>
      </w:r>
      <w:r>
        <w:t xml:space="preserve"> </w:t>
      </w:r>
      <w:r>
        <w:t xml:space="preserve">to understand supply-side reactions to the intervention.</w:t>
      </w:r>
    </w:p>
    <w:p>
      <w:pPr>
        <w:pStyle w:val="FirstParagraph"/>
      </w:pPr>
      <w:r>
        <w:t xml:space="preserve">All data will be anonymized to protect participant privacy, in accordance with Israeli data protection laws.</w:t>
      </w:r>
    </w:p>
    <w:bookmarkEnd w:id="29"/>
    <w:bookmarkStart w:id="30" w:name="ethical-considerations"/>
    <w:p>
      <w:pPr>
        <w:pStyle w:val="Heading2"/>
      </w:pPr>
      <w:r>
        <w:t xml:space="preserve">5. Ethical Considerations</w:t>
      </w:r>
    </w:p>
    <w:p>
      <w:pPr>
        <w:pStyle w:val="FirstParagraph"/>
      </w:pPr>
      <w:r>
        <w:t xml:space="preserve">This</w:t>
      </w:r>
      <w:r>
        <w:t xml:space="preserve"> </w:t>
      </w:r>
      <w:r>
        <w:rPr>
          <w:bCs/>
          <w:b/>
        </w:rPr>
        <w:t xml:space="preserve">Experiment Protocol</w:t>
      </w:r>
      <w:r>
        <w:t xml:space="preserve"> </w:t>
      </w:r>
      <w:r>
        <w:t xml:space="preserve">adheres strictly to ethical guidelines for research involving human subjects. Key considerations include:</w:t>
      </w:r>
    </w:p>
    <w:p>
      <w:pPr>
        <w:numPr>
          <w:ilvl w:val="0"/>
          <w:numId w:val="1004"/>
        </w:numPr>
        <w:pStyle w:val="Compact"/>
      </w:pPr>
      <w:r>
        <w:rPr>
          <w:bCs/>
          <w:b/>
        </w:rPr>
        <w:t xml:space="preserve">Informed Consent:</w:t>
      </w:r>
      <w:r>
        <w:t xml:space="preserve"> </w:t>
      </w:r>
      <w:r>
        <w:t xml:space="preserve">All participants must sign a consent form detailing the nature of the experiment, their rights, and the voluntary nature of their participation.</w:t>
      </w:r>
    </w:p>
    <w:p>
      <w:pPr>
        <w:numPr>
          <w:ilvl w:val="0"/>
          <w:numId w:val="1004"/>
        </w:numPr>
        <w:pStyle w:val="Compact"/>
      </w:pPr>
      <w:r>
        <w:rPr>
          <w:bCs/>
          <w:b/>
        </w:rPr>
        <w:t xml:space="preserve">Neutrality:</w:t>
      </w:r>
      <w:r>
        <w:t xml:space="preserve"> </w:t>
      </w:r>
      <w:r>
        <w:t xml:space="preserve">Given the sensitive political and social context of</w:t>
      </w:r>
      <w:r>
        <w:t xml:space="preserve"> </w:t>
      </w:r>
      <w:r>
        <w:rPr>
          <w:bCs/>
          <w:b/>
        </w:rPr>
        <w:t xml:space="preserve">Israel Jerusalem</w:t>
      </w:r>
      <w:r>
        <w:t xml:space="preserve">, the</w:t>
      </w:r>
      <w:r>
        <w:t xml:space="preserve"> </w:t>
      </w:r>
      <w:r>
        <w:rPr>
          <w:bCs/>
          <w:b/>
        </w:rPr>
        <w:t xml:space="preserve">Economist</w:t>
      </w:r>
      <w:r>
        <w:t xml:space="preserve"> </w:t>
      </w:r>
      <w:r>
        <w:t xml:space="preserve">and research team will maintain strict political neutrality. The study focuses solely on economic variables.</w:t>
      </w:r>
    </w:p>
    <w:p>
      <w:pPr>
        <w:numPr>
          <w:ilvl w:val="0"/>
          <w:numId w:val="1004"/>
        </w:numPr>
        <w:pStyle w:val="Compact"/>
      </w:pPr>
      <w:r>
        <w:rPr>
          <w:bCs/>
          <w:b/>
        </w:rPr>
        <w:t xml:space="preserve">Debriefing:</w:t>
      </w:r>
      <w:r>
        <w:t xml:space="preserve"> </w:t>
      </w:r>
      <w:r>
        <w:t xml:space="preserve">Participants will be fully debriefed upon completion of the study, with findings shared in a summary report accessible to the public.</w:t>
      </w:r>
    </w:p>
    <w:p>
      <w:pPr>
        <w:pStyle w:val="FirstParagraph"/>
      </w:pPr>
      <w:r>
        <w:rPr>
          <w:bCs/>
          <w:b/>
        </w:rPr>
        <w:t xml:space="preserve">Note:</w:t>
      </w:r>
      <w:r>
        <w:t xml:space="preserve"> </w:t>
      </w:r>
      <w:r>
        <w:t xml:space="preserve">Special care will be taken to ensure that the experiment does not disrupt local commerce or create unintended economic disparities among neighborhoods.</w:t>
      </w:r>
    </w:p>
    <w:bookmarkEnd w:id="30"/>
    <w:bookmarkStart w:id="31" w:name="risk-management"/>
    <w:p>
      <w:pPr>
        <w:pStyle w:val="Heading2"/>
      </w:pPr>
      <w:r>
        <w:t xml:space="preserve">6. Risk Management</w:t>
      </w:r>
    </w:p>
    <w:p>
      <w:pPr>
        <w:pStyle w:val="FirstParagraph"/>
      </w:pPr>
      <w:r>
        <w:t xml:space="preserve">Potential risks associated with conducting this experiment in</w:t>
      </w:r>
      <w:r>
        <w:t xml:space="preserve"> </w:t>
      </w:r>
      <w:r>
        <w:rPr>
          <w:bCs/>
          <w:b/>
        </w:rPr>
        <w:t xml:space="preserve">Israel Jerusalem</w:t>
      </w:r>
      <w:r>
        <w:t xml:space="preserve"> </w:t>
      </w:r>
      <w:r>
        <w:t xml:space="preserve">include:</w:t>
      </w:r>
    </w:p>
    <w:p>
      <w:pPr>
        <w:numPr>
          <w:ilvl w:val="0"/>
          <w:numId w:val="1005"/>
        </w:numPr>
        <w:pStyle w:val="Compact"/>
      </w:pPr>
      <w:r>
        <w:rPr>
          <w:bCs/>
          <w:b/>
        </w:rPr>
        <w:t xml:space="preserve">Security Concerns:</w:t>
      </w:r>
      <w:r>
        <w:t xml:space="preserve"> </w:t>
      </w:r>
      <w:r>
        <w:t xml:space="preserve">The research team will monitor local security conditions daily. Fieldwork may be suspended if necessary.</w:t>
      </w:r>
    </w:p>
    <w:p>
      <w:pPr>
        <w:numPr>
          <w:ilvl w:val="0"/>
          <w:numId w:val="1005"/>
        </w:numPr>
        <w:pStyle w:val="Compact"/>
      </w:pPr>
      <w:r>
        <w:rPr>
          <w:bCs/>
          <w:b/>
        </w:rPr>
        <w:t xml:space="preserve">Market Distortion:</w:t>
      </w:r>
      <w:r>
        <w:t xml:space="preserve"> </w:t>
      </w:r>
      <w:r>
        <w:t xml:space="preserve">The scale of the intervention is designed to be small enough to avoid significant price manipulation in the local market.</w:t>
      </w:r>
    </w:p>
    <w:p>
      <w:pPr>
        <w:numPr>
          <w:ilvl w:val="0"/>
          <w:numId w:val="1005"/>
        </w:numPr>
        <w:pStyle w:val="Compact"/>
      </w:pPr>
      <w:r>
        <w:rPr>
          <w:bCs/>
          <w:b/>
        </w:rPr>
        <w:t xml:space="preserve">Data Privacy:</w:t>
      </w:r>
      <w:r>
        <w:t xml:space="preserve"> </w:t>
      </w:r>
      <w:r>
        <w:t xml:space="preserve">Robust cybersecurity measures will be implemented to protect sensitive financial and personal data.</w:t>
      </w:r>
    </w:p>
    <w:bookmarkEnd w:id="31"/>
    <w:bookmarkStart w:id="32" w:name="timeline"/>
    <w:p>
      <w:pPr>
        <w:pStyle w:val="Heading2"/>
      </w:pPr>
      <w:r>
        <w:t xml:space="preserve">7. Timeline</w:t>
      </w:r>
    </w:p>
    <w:p>
      <w:pPr>
        <w:numPr>
          <w:ilvl w:val="0"/>
          <w:numId w:val="1006"/>
        </w:numPr>
        <w:pStyle w:val="Compact"/>
      </w:pPr>
      <w:r>
        <w:rPr>
          <w:bCs/>
          <w:b/>
        </w:rPr>
        <w:t xml:space="preserve">Weeks 1-2:</w:t>
      </w:r>
      <w:r>
        <w:t xml:space="preserve"> </w:t>
      </w:r>
      <w:r>
        <w:t xml:space="preserve">Recruitment of research assistants and vendor onboarding.</w:t>
      </w:r>
    </w:p>
    <w:p>
      <w:pPr>
        <w:numPr>
          <w:ilvl w:val="0"/>
          <w:numId w:val="1006"/>
        </w:numPr>
        <w:pStyle w:val="Compact"/>
      </w:pPr>
      <w:r>
        <w:rPr>
          <w:bCs/>
          <w:b/>
        </w:rPr>
        <w:t xml:space="preserve">Weeks 3-8:</w:t>
      </w:r>
      <w:r>
        <w:t xml:space="preserve"> </w:t>
      </w:r>
      <w:r>
        <w:t xml:space="preserve">Implementation of the intervention and data collection.</w:t>
      </w:r>
    </w:p>
    <w:p>
      <w:pPr>
        <w:numPr>
          <w:ilvl w:val="0"/>
          <w:numId w:val="1006"/>
        </w:numPr>
        <w:pStyle w:val="Compact"/>
      </w:pPr>
      <w:r>
        <w:rPr>
          <w:bCs/>
          <w:b/>
        </w:rPr>
        <w:t xml:space="preserve">Weeks 9-10:</w:t>
      </w:r>
      <w:r>
        <w:t xml:space="preserve"> </w:t>
      </w:r>
      <w:r>
        <w:t xml:space="preserve">Data cleaning and preliminary analysis by the</w:t>
      </w:r>
      <w:r>
        <w:t xml:space="preserve"> </w:t>
      </w:r>
      <w:r>
        <w:rPr>
          <w:bCs/>
          <w:b/>
        </w:rPr>
        <w:t xml:space="preserve">Economist</w:t>
      </w:r>
      <w:r>
        <w:t xml:space="preserve">.</w:t>
      </w:r>
    </w:p>
    <w:p>
      <w:pPr>
        <w:numPr>
          <w:ilvl w:val="0"/>
          <w:numId w:val="1006"/>
        </w:numPr>
        <w:pStyle w:val="Compact"/>
      </w:pPr>
      <w:r>
        <w:rPr>
          <w:bCs/>
          <w:b/>
        </w:rPr>
        <w:t xml:space="preserve">Weeks 11-12:</w:t>
      </w:r>
      <w:r>
        <w:t xml:space="preserve"> </w:t>
      </w:r>
      <w:r>
        <w:t xml:space="preserve">Final report generation and dissemination of results.</w:t>
      </w:r>
    </w:p>
    <w:bookmarkEnd w:id="32"/>
    <w:bookmarkStart w:id="33" w:name="conclusion"/>
    <w:p>
      <w:pPr>
        <w:pStyle w:val="Heading2"/>
      </w:pPr>
      <w:r>
        <w:t xml:space="preserve">8. Conclusion</w:t>
      </w:r>
    </w:p>
    <w:p>
      <w:pPr>
        <w:pStyle w:val="FirstParagraph"/>
      </w:pPr>
      <w:r>
        <w:t xml:space="preserve">This</w:t>
      </w:r>
      <w:r>
        <w:t xml:space="preserve"> </w:t>
      </w:r>
      <w:r>
        <w:rPr>
          <w:bCs/>
          <w:b/>
        </w:rPr>
        <w:t xml:space="preserve">Experiment Protocol</w:t>
      </w:r>
      <w:r>
        <w:t xml:space="preserve"> </w:t>
      </w:r>
      <w:r>
        <w:t xml:space="preserve">provides a comprehensive framework for investigating economic behavior in</w:t>
      </w:r>
      <w:r>
        <w:t xml:space="preserve"> </w:t>
      </w:r>
      <w:r>
        <w:rPr>
          <w:bCs/>
          <w:b/>
        </w:rPr>
        <w:t xml:space="preserve">Israel Jerusalem</w:t>
      </w:r>
      <w:r>
        <w:t xml:space="preserve">. By leveraging the expertise of the</w:t>
      </w:r>
      <w:r>
        <w:t xml:space="preserve"> </w:t>
      </w:r>
      <w:r>
        <w:rPr>
          <w:bCs/>
          <w:b/>
        </w:rPr>
        <w:t xml:space="preserve">Economist</w:t>
      </w:r>
      <w:r>
        <w:t xml:space="preserve"> </w:t>
      </w:r>
      <w:r>
        <w:t xml:space="preserve">and employing rigorous scientific methods, this study aims to contribute valuable insights to the fields of behavioral economics and urban policy. The findings will not only enhance our understanding of market dynamics in complex urban environments but also offer practical recommendations for fostering economic growth and stability in Jerusalem.</w:t>
      </w:r>
    </w:p>
    <w:bookmarkEnd w:id="33"/>
    <w:p>
      <w:pPr>
        <w:pStyle w:val="BodyText"/>
      </w:pPr>
      <w:r>
        <w:t xml:space="preserve">© 2024 Department of Urban Economics. All rights reserved.</w:t>
      </w:r>
    </w:p>
    <w:p>
      <w:pPr>
        <w:pStyle w:val="BodyText"/>
      </w:pPr>
      <w:r>
        <w:t xml:space="preserve">Document Version: 1.0 | Confidentiality Level: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Behavioral Economics in Jerusalem</dc:title>
  <dc:creator/>
  <dc:language>en</dc:language>
  <cp:keywords/>
  <dcterms:created xsi:type="dcterms:W3CDTF">2026-10-10T06:10:54Z</dcterms:created>
  <dcterms:modified xsi:type="dcterms:W3CDTF">2026-10-10T06:10:54Z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