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Kyoto</w:t>
      </w:r>
    </w:p>
    <w:bookmarkStart w:id="20" w:name="X5776df37023a6493a9a9e98a83f0604e233355c"/>
    <w:p>
      <w:pPr>
        <w:pStyle w:val="Heading1"/>
      </w:pPr>
      <w:r>
        <w:t xml:space="preserve">Experiment Protocol: Cultural Nuances in Economic Decision-Making</w:t>
      </w:r>
    </w:p>
    <w:p>
      <w:pPr>
        <w:pStyle w:val="FirstParagraph"/>
      </w:pPr>
      <w:r>
        <w:rPr>
          <w:bCs/>
          <w:b/>
        </w:rPr>
        <w:t xml:space="preserve">Location:</w:t>
      </w:r>
      <w:r>
        <w:t xml:space="preserve"> </w:t>
      </w:r>
      <w:r>
        <w:t xml:space="preserve">Kyoto, Japan</w:t>
      </w:r>
    </w:p>
    <w:p>
      <w:pPr>
        <w:pStyle w:val="BodyText"/>
      </w:pPr>
      <w:r>
        <w:rPr>
          <w:bCs/>
          <w:b/>
        </w:rPr>
        <w:t xml:space="preserve">Discipline:</w:t>
      </w:r>
      <w:r>
        <w:t xml:space="preserve"> </w:t>
      </w:r>
      <w:r>
        <w:t xml:space="preserve">Behavioral Economics</w:t>
      </w:r>
    </w:p>
    <w:p>
      <w:pPr>
        <w:pStyle w:val="BodyText"/>
      </w:pPr>
      <w:r>
        <w:rPr>
          <w:bCs/>
          <w:b/>
        </w:rPr>
        <w:t xml:space="preserve">Version:</w:t>
      </w:r>
      <w:r>
        <w:t xml:space="preserve"> </w:t>
      </w:r>
      <w:r>
        <w:t xml:space="preserve">1.0</w:t>
      </w:r>
    </w:p>
    <w:bookmarkEnd w:id="20"/>
    <w:p>
      <w:pPr>
        <w:pStyle w:val="BodyText"/>
      </w:pPr>
      <w:r>
        <w:rPr>
          <w:bCs/>
          <w:b/>
        </w:rPr>
        <w:t xml:space="preserve">Principal Investigator:</w:t>
      </w:r>
      <w:r>
        <w:t xml:space="preserve"> </w:t>
      </w:r>
      <w:r>
        <w:t xml:space="preserve">[Name of Lead Economist]</w:t>
      </w:r>
    </w:p>
    <w:p>
      <w:pPr>
        <w:pStyle w:val="BodyText"/>
      </w:pPr>
      <w:r>
        <w:rPr>
          <w:bCs/>
          <w:b/>
        </w:rPr>
        <w:t xml:space="preserve">Co-Investigators:</w:t>
      </w:r>
      <w:r>
        <w:t xml:space="preserve"> </w:t>
      </w:r>
      <w:r>
        <w:t xml:space="preserve">[Names of Research Team]</w:t>
      </w:r>
    </w:p>
    <w:p>
      <w:pPr>
        <w:pStyle w:val="BodyText"/>
      </w:pPr>
      <w:r>
        <w:rPr>
          <w:bCs/>
          <w:b/>
        </w:rPr>
        <w:t xml:space="preserve">Institution:</w:t>
      </w:r>
      <w:r>
        <w:t xml:space="preserve"> </w:t>
      </w:r>
      <w:r>
        <w:t xml:space="preserve">[Name of University or Research Institute]</w:t>
      </w:r>
    </w:p>
    <w:p>
      <w:pPr>
        <w:pStyle w:val="BodyText"/>
      </w:pPr>
      <w:r>
        <w:rPr>
          <w:bCs/>
          <w:b/>
        </w:rPr>
        <w:t xml:space="preserve">Date of Approval:</w:t>
      </w:r>
      <w:r>
        <w:t xml:space="preserve"> </w:t>
      </w:r>
      <w:r>
        <w:t xml:space="preserve">[Date]</w:t>
      </w:r>
    </w:p>
    <w:p>
      <w:pPr>
        <w:pStyle w:val="BodyText"/>
      </w:pPr>
      <w:r>
        <w:rPr>
          <w:bCs/>
          <w:b/>
        </w:rPr>
        <w:t xml:space="preserve">Ethics Committee Reference:</w:t>
      </w:r>
      <w:r>
        <w:t xml:space="preserve"> </w:t>
      </w:r>
      <w:r>
        <w:t xml:space="preserve">[Reference Number]</w:t>
      </w:r>
    </w:p>
    <w:bookmarkStart w:id="21" w:name="introduction-and-background"/>
    <w:p>
      <w:pPr>
        <w:pStyle w:val="Heading2"/>
      </w:pPr>
      <w:r>
        <w:t xml:space="preserve">1. Introduction and Background</w:t>
      </w:r>
    </w:p>
    <w:p>
      <w:pPr>
        <w:pStyle w:val="FirstParagraph"/>
      </w:pPr>
      <w:r>
        <w:t xml:space="preserve">This document outlines the comprehensive Experiment Protocol for a study titled "Cultural Nuances in Economic Decision-Making: A Comparative Analysis in Kyoto, Japan." The primary objective of this research is to investigate how cultural factors, specifically those prevalent in Kyoto, influence economic behaviors such as risk aversion, trust, and cooperative behavior. Kyoto, known for its rich cultural heritage and traditional values, provides a unique setting for examining the interplay between cultural norms and economic decision-making.</w:t>
      </w:r>
    </w:p>
    <w:p>
      <w:pPr>
        <w:pStyle w:val="BodyText"/>
      </w:pPr>
      <w:r>
        <w:t xml:space="preserve">The study aims to contribute to the field of behavioral economics by providing empirical evidence on how cultural contexts shape economic choices. By focusing on Kyoto, we seek to understand the specific cultural dynamics that may differ from other regions in Japan and globally. This research will also explore the implications of these findings for economic policy and business practices in culturally diverse environments.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examine the impact of cultural norms on risk aversion among residents of Kyoto.</w:t>
      </w:r>
    </w:p>
    <w:p>
      <w:pPr>
        <w:numPr>
          <w:ilvl w:val="0"/>
          <w:numId w:val="1001"/>
        </w:numPr>
        <w:pStyle w:val="Compact"/>
      </w:pPr>
      <w:r>
        <w:t xml:space="preserve">To assess the level of trust and cooperative behavior in economic transactions within the Kyoto community.</w:t>
      </w:r>
    </w:p>
    <w:p>
      <w:pPr>
        <w:numPr>
          <w:ilvl w:val="0"/>
          <w:numId w:val="1001"/>
        </w:numPr>
        <w:pStyle w:val="Compact"/>
      </w:pPr>
      <w:r>
        <w:t xml:space="preserve">To compare the economic decision-making patterns of Kyoto residents with those from other regions in Japan and internationally.</w:t>
      </w:r>
    </w:p>
    <w:p>
      <w:pPr>
        <w:numPr>
          <w:ilvl w:val="0"/>
          <w:numId w:val="1001"/>
        </w:numPr>
        <w:pStyle w:val="Compact"/>
      </w:pPr>
      <w:r>
        <w:t xml:space="preserve">To identify specific cultural factors that influence economic behaviors in Kyoto.</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study will employ a mixed-methods approach, combining quantitative experiments with qualitative interviews. The quantitative component will involve a series of controlled economic games designed to measure risk aversion, trust, and cooperation. The qualitative component will include semi-structured interviews to gain deeper insights into the cultural factors influencing these behaviors.</w:t>
      </w:r>
    </w:p>
    <w:bookmarkEnd w:id="23"/>
    <w:bookmarkStart w:id="24" w:name="participants"/>
    <w:p>
      <w:pPr>
        <w:pStyle w:val="Heading3"/>
      </w:pPr>
      <w:r>
        <w:t xml:space="preserve">3.2 Participants</w:t>
      </w:r>
    </w:p>
    <w:p>
      <w:pPr>
        <w:pStyle w:val="FirstParagraph"/>
      </w:pPr>
      <w:r>
        <w:t xml:space="preserve">The target population for this study consists of adult residents of Kyoto, aged 18 and above. Participants will be recruited through various channels, including local community centers, universities, and online platforms. The sample size will be determined based on power analysis to ensure statistical significance.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Inclusion</w:t>
            </w:r>
          </w:p>
        </w:tc>
        <w:tc>
          <w:tcPr/>
          <w:p>
            <w:pPr>
              <w:pStyle w:val="Compact"/>
              <w:jc w:val="left"/>
            </w:pPr>
            <w:r>
              <w:t xml:space="preserve">Exclusion</w:t>
            </w:r>
          </w:p>
        </w:tc>
      </w:tr>
      <w:tr>
        <w:tc>
          <w:tcPr/>
          <w:p>
            <w:pPr>
              <w:pStyle w:val="Compact"/>
              <w:jc w:val="left"/>
            </w:pPr>
            <w:r>
              <w:t xml:space="preserve">Age</w:t>
            </w:r>
          </w:p>
        </w:tc>
        <w:tc>
          <w:tcPr/>
          <w:p>
            <w:pPr>
              <w:pStyle w:val="Compact"/>
              <w:jc w:val="left"/>
            </w:pPr>
            <w:r>
              <w:t xml:space="preserve">18 years and above</w:t>
            </w:r>
          </w:p>
        </w:tc>
        <w:tc>
          <w:tcPr/>
          <w:p>
            <w:pPr>
              <w:pStyle w:val="Compact"/>
              <w:jc w:val="left"/>
            </w:pPr>
            <w:r>
              <w:t xml:space="preserve">Under 18 years</w:t>
            </w:r>
          </w:p>
        </w:tc>
      </w:tr>
      <w:tr>
        <w:tc>
          <w:tcPr/>
          <w:p>
            <w:pPr>
              <w:pStyle w:val="Compact"/>
              <w:jc w:val="left"/>
            </w:pPr>
            <w:r>
              <w:t xml:space="preserve">Residency</w:t>
            </w:r>
          </w:p>
        </w:tc>
        <w:tc>
          <w:tcPr/>
          <w:p>
            <w:pPr>
              <w:pStyle w:val="Compact"/>
              <w:jc w:val="left"/>
            </w:pPr>
            <w:r>
              <w:t xml:space="preserve">Residents of Kyoto for at least 1 year</w:t>
            </w:r>
          </w:p>
        </w:tc>
        <w:tc>
          <w:tcPr/>
          <w:p>
            <w:pPr>
              <w:pStyle w:val="Compact"/>
              <w:jc w:val="left"/>
            </w:pPr>
            <w:r>
              <w:t xml:space="preserve">Non-residents or recent arrivals</w:t>
            </w:r>
          </w:p>
        </w:tc>
      </w:tr>
      <w:tr>
        <w:tc>
          <w:tcPr/>
          <w:p>
            <w:pPr>
              <w:pStyle w:val="Compact"/>
              <w:jc w:val="left"/>
            </w:pPr>
            <w:r>
              <w:t xml:space="preserve">Language</w:t>
            </w:r>
          </w:p>
        </w:tc>
        <w:tc>
          <w:tcPr/>
          <w:p>
            <w:pPr>
              <w:pStyle w:val="Compact"/>
              <w:jc w:val="left"/>
            </w:pPr>
            <w:r>
              <w:t xml:space="preserve">Fluent in Japanese</w:t>
            </w:r>
          </w:p>
        </w:tc>
        <w:tc>
          <w:tcPr/>
          <w:p>
            <w:pPr>
              <w:pStyle w:val="Compact"/>
              <w:jc w:val="left"/>
            </w:pPr>
            <w:r>
              <w:t xml:space="preserve">Non-fluent in Japanese</w:t>
            </w:r>
          </w:p>
        </w:tc>
      </w:tr>
    </w:tbl>
    <w:bookmarkEnd w:id="24"/>
    <w:bookmarkStart w:id="25" w:name="procedures"/>
    <w:p>
      <w:pPr>
        <w:pStyle w:val="Heading3"/>
      </w:pPr>
      <w:r>
        <w:t xml:space="preserve">3.3 Procedures</w:t>
      </w:r>
    </w:p>
    <w:p>
      <w:pPr>
        <w:pStyle w:val="FirstParagraph"/>
      </w:pPr>
      <w:r>
        <w:t xml:space="preserve">The experiment will be conducted in a controlled environment, such as a university laboratory or community center in Kyoto. Participants will be randomly assigned to different experimental conditions. Each session will last approximately 60 minutes and will include the following steps:</w:t>
      </w:r>
    </w:p>
    <w:p>
      <w:pPr>
        <w:numPr>
          <w:ilvl w:val="0"/>
          <w:numId w:val="1002"/>
        </w:numPr>
        <w:pStyle w:val="Compact"/>
      </w:pPr>
      <w:r>
        <w:rPr>
          <w:bCs/>
          <w:b/>
        </w:rPr>
        <w:t xml:space="preserve">Informed Consent:</w:t>
      </w:r>
      <w:r>
        <w:t xml:space="preserve"> </w:t>
      </w:r>
      <w:r>
        <w:t xml:space="preserve">Participants will be provided with an informed consent form detailing the purpose of the study, procedures, risks, and benefits. They will be asked to sign the form before proceeding.</w:t>
      </w:r>
    </w:p>
    <w:p>
      <w:pPr>
        <w:numPr>
          <w:ilvl w:val="0"/>
          <w:numId w:val="1002"/>
        </w:numPr>
        <w:pStyle w:val="Compact"/>
      </w:pPr>
      <w:r>
        <w:rPr>
          <w:bCs/>
          <w:b/>
        </w:rPr>
        <w:t xml:space="preserve">Demographic Questionnaire:</w:t>
      </w:r>
      <w:r>
        <w:t xml:space="preserve"> </w:t>
      </w:r>
      <w:r>
        <w:t xml:space="preserve">Participants will complete a brief questionnaire collecting demographic information such as age, gender, education level, and occupation.</w:t>
      </w:r>
    </w:p>
    <w:p>
      <w:pPr>
        <w:numPr>
          <w:ilvl w:val="0"/>
          <w:numId w:val="1002"/>
        </w:numPr>
        <w:pStyle w:val="Compact"/>
      </w:pPr>
      <w:r>
        <w:rPr>
          <w:bCs/>
          <w:b/>
        </w:rPr>
        <w:t xml:space="preserve">Economic Games:</w:t>
      </w:r>
      <w:r>
        <w:t xml:space="preserve"> </w:t>
      </w:r>
      <w:r>
        <w:t xml:space="preserve">Participants will engage in a series of economic games designed to measure risk aversion, trust, and cooperation. These games will include the Ultimatum Game, Trust Game, and Risky Choice Task.</w:t>
      </w:r>
    </w:p>
    <w:p>
      <w:pPr>
        <w:numPr>
          <w:ilvl w:val="0"/>
          <w:numId w:val="1002"/>
        </w:numPr>
        <w:pStyle w:val="Compact"/>
      </w:pPr>
      <w:r>
        <w:rPr>
          <w:bCs/>
          <w:b/>
        </w:rPr>
        <w:t xml:space="preserve">Qualitative Interviews:</w:t>
      </w:r>
      <w:r>
        <w:t xml:space="preserve"> </w:t>
      </w:r>
      <w:r>
        <w:t xml:space="preserve">A subset of participants will be invited to participate in semi-structured interviews to explore their experiences and perceptions related to the economic games and cultural norms.</w:t>
      </w:r>
    </w:p>
    <w:p>
      <w:pPr>
        <w:numPr>
          <w:ilvl w:val="0"/>
          <w:numId w:val="1002"/>
        </w:numPr>
        <w:pStyle w:val="Compact"/>
      </w:pPr>
      <w:r>
        <w:rPr>
          <w:bCs/>
          <w:b/>
        </w:rPr>
        <w:t xml:space="preserve">Debriefing:</w:t>
      </w:r>
      <w:r>
        <w:t xml:space="preserve"> </w:t>
      </w:r>
      <w:r>
        <w:t xml:space="preserve">Participants will be debriefed about the purpose of the study and the nature of the economic games. They will be given the opportunity to ask questions and provide feedback.</w:t>
      </w:r>
    </w:p>
    <w:bookmarkEnd w:id="25"/>
    <w:bookmarkEnd w:id="26"/>
    <w:bookmarkStart w:id="29" w:name="data-collection-and-analysis"/>
    <w:p>
      <w:pPr>
        <w:pStyle w:val="Heading2"/>
      </w:pPr>
      <w:r>
        <w:t xml:space="preserve">4. Data Collection and Analysis</w:t>
      </w:r>
    </w:p>
    <w:bookmarkStart w:id="27" w:name="data-collection"/>
    <w:p>
      <w:pPr>
        <w:pStyle w:val="Heading3"/>
      </w:pPr>
      <w:r>
        <w:t xml:space="preserve">4.1 Data Collection</w:t>
      </w:r>
    </w:p>
    <w:p>
      <w:pPr>
        <w:pStyle w:val="FirstParagraph"/>
      </w:pPr>
      <w:r>
        <w:t xml:space="preserve">Data will be collected using standardized instruments and procedures to ensure reliability and validity. Quantitative data will be recorded using computerized systems, while qualitative data will be audio-recorded and transcribed verbatim.</w:t>
      </w:r>
    </w:p>
    <w:bookmarkEnd w:id="27"/>
    <w:bookmarkStart w:id="28" w:name="data-analysis"/>
    <w:p>
      <w:pPr>
        <w:pStyle w:val="Heading3"/>
      </w:pPr>
      <w:r>
        <w:t xml:space="preserve">4.2 Data Analysis</w:t>
      </w:r>
    </w:p>
    <w:p>
      <w:pPr>
        <w:pStyle w:val="FirstParagraph"/>
      </w:pPr>
      <w:r>
        <w:t xml:space="preserve">Quantitative data will be analyzed using statistical software such as SPSS or R. Descriptive statistics will be used to summarize the data, and inferential statistics will be employed to test hypotheses. Qualitative data will be analyzed using thematic analysis to identify recurring themes and patterns.</w:t>
      </w:r>
    </w:p>
    <w:bookmarkEnd w:id="28"/>
    <w:bookmarkEnd w:id="29"/>
    <w:bookmarkStart w:id="30" w:name="ethical-considerations"/>
    <w:p>
      <w:pPr>
        <w:pStyle w:val="Heading2"/>
      </w:pPr>
      <w:r>
        <w:t xml:space="preserve">5. Ethical Considerations</w:t>
      </w:r>
    </w:p>
    <w:p>
      <w:pPr>
        <w:pStyle w:val="FirstParagraph"/>
      </w:pPr>
      <w:r>
        <w:t xml:space="preserve">This study will adhere to the ethical guidelines set forth by the [Name of Ethics Committee]. Key ethical considerations include:</w:t>
      </w:r>
    </w:p>
    <w:p>
      <w:pPr>
        <w:numPr>
          <w:ilvl w:val="0"/>
          <w:numId w:val="1003"/>
        </w:numPr>
        <w:pStyle w:val="Compact"/>
      </w:pPr>
      <w:r>
        <w:rPr>
          <w:bCs/>
          <w:b/>
        </w:rPr>
        <w:t xml:space="preserve">Informed Consent:</w:t>
      </w:r>
      <w:r>
        <w:t xml:space="preserve"> </w:t>
      </w:r>
      <w:r>
        <w:t xml:space="preserve">Participants will be fully informed about the study and will provide voluntary consent.</w:t>
      </w:r>
    </w:p>
    <w:p>
      <w:pPr>
        <w:numPr>
          <w:ilvl w:val="0"/>
          <w:numId w:val="1003"/>
        </w:numPr>
        <w:pStyle w:val="Compact"/>
      </w:pPr>
      <w:r>
        <w:rPr>
          <w:bCs/>
          <w:b/>
        </w:rPr>
        <w:t xml:space="preserve">Confidentiality:</w:t>
      </w:r>
      <w:r>
        <w:t xml:space="preserve"> </w:t>
      </w:r>
      <w:r>
        <w:t xml:space="preserve">All data will be kept confidential and anonymized to protect participant privacy.</w:t>
      </w:r>
    </w:p>
    <w:p>
      <w:pPr>
        <w:numPr>
          <w:ilvl w:val="0"/>
          <w:numId w:val="1003"/>
        </w:numPr>
        <w:pStyle w:val="Compact"/>
      </w:pPr>
      <w:r>
        <w:rPr>
          <w:bCs/>
          <w:b/>
        </w:rPr>
        <w:t xml:space="preserve">Right to Withdraw:</w:t>
      </w:r>
      <w:r>
        <w:t xml:space="preserve"> </w:t>
      </w:r>
      <w:r>
        <w:t xml:space="preserve">Participants will have the right to withdraw from the study at any time without penalty.</w:t>
      </w:r>
    </w:p>
    <w:p>
      <w:pPr>
        <w:numPr>
          <w:ilvl w:val="0"/>
          <w:numId w:val="1003"/>
        </w:numPr>
        <w:pStyle w:val="Compact"/>
      </w:pPr>
      <w:r>
        <w:rPr>
          <w:bCs/>
          <w:b/>
        </w:rPr>
        <w:t xml:space="preserve">Minimizing Harm:</w:t>
      </w:r>
      <w:r>
        <w:t xml:space="preserve"> </w:t>
      </w:r>
      <w:r>
        <w:t xml:space="preserve">The study will be designed to minimize any potential harm or discomfort to participants.</w:t>
      </w:r>
    </w:p>
    <w:bookmarkEnd w:id="30"/>
    <w:bookmarkStart w:id="31" w:name="timeline"/>
    <w:p>
      <w:pPr>
        <w:pStyle w:val="Heading2"/>
      </w:pPr>
      <w:r>
        <w:t xml:space="preserve">6. Timeline</w:t>
      </w:r>
    </w:p>
    <w:p>
      <w:pPr>
        <w:pStyle w:val="FirstParagraph"/>
      </w:pPr>
      <w:r>
        <w:t xml:space="preserve">The study will be conducted over a period of 12 months, with the following key milestones:</w:t>
      </w:r>
    </w:p>
    <w:p>
      <w:pPr>
        <w:numPr>
          <w:ilvl w:val="0"/>
          <w:numId w:val="1004"/>
        </w:numPr>
        <w:pStyle w:val="Compact"/>
      </w:pPr>
      <w:r>
        <w:rPr>
          <w:bCs/>
          <w:b/>
        </w:rPr>
        <w:t xml:space="preserve">Months 1-2:</w:t>
      </w:r>
      <w:r>
        <w:t xml:space="preserve"> </w:t>
      </w:r>
      <w:r>
        <w:t xml:space="preserve">Literature review and protocol development.</w:t>
      </w:r>
    </w:p>
    <w:p>
      <w:pPr>
        <w:numPr>
          <w:ilvl w:val="0"/>
          <w:numId w:val="1004"/>
        </w:numPr>
        <w:pStyle w:val="Compact"/>
      </w:pPr>
      <w:r>
        <w:rPr>
          <w:bCs/>
          <w:b/>
        </w:rPr>
        <w:t xml:space="preserve">Months 3-4:</w:t>
      </w:r>
      <w:r>
        <w:t xml:space="preserve"> </w:t>
      </w:r>
      <w:r>
        <w:t xml:space="preserve">Ethics approval and recruitment of participants.</w:t>
      </w:r>
    </w:p>
    <w:p>
      <w:pPr>
        <w:numPr>
          <w:ilvl w:val="0"/>
          <w:numId w:val="1004"/>
        </w:numPr>
        <w:pStyle w:val="Compact"/>
      </w:pPr>
      <w:r>
        <w:rPr>
          <w:bCs/>
          <w:b/>
        </w:rPr>
        <w:t xml:space="preserve">Months 5-8:</w:t>
      </w:r>
      <w:r>
        <w:t xml:space="preserve"> </w:t>
      </w:r>
      <w:r>
        <w:t xml:space="preserve">Data collection.</w:t>
      </w:r>
    </w:p>
    <w:p>
      <w:pPr>
        <w:numPr>
          <w:ilvl w:val="0"/>
          <w:numId w:val="1004"/>
        </w:numPr>
        <w:pStyle w:val="Compact"/>
      </w:pPr>
      <w:r>
        <w:rPr>
          <w:bCs/>
          <w:b/>
        </w:rPr>
        <w:t xml:space="preserve">Months 9-10:</w:t>
      </w:r>
      <w:r>
        <w:t xml:space="preserve"> </w:t>
      </w:r>
      <w:r>
        <w:t xml:space="preserve">Data analysis.</w:t>
      </w:r>
    </w:p>
    <w:p>
      <w:pPr>
        <w:numPr>
          <w:ilvl w:val="0"/>
          <w:numId w:val="1004"/>
        </w:numPr>
        <w:pStyle w:val="Compact"/>
      </w:pPr>
      <w:r>
        <w:rPr>
          <w:bCs/>
          <w:b/>
        </w:rPr>
        <w:t xml:space="preserve">Months 11-12:</w:t>
      </w:r>
      <w:r>
        <w:t xml:space="preserve"> </w:t>
      </w:r>
      <w:r>
        <w:t xml:space="preserve">Writing and dissemination of results.</w:t>
      </w:r>
    </w:p>
    <w:bookmarkEnd w:id="31"/>
    <w:bookmarkStart w:id="32" w:name="budget"/>
    <w:p>
      <w:pPr>
        <w:pStyle w:val="Heading2"/>
      </w:pPr>
      <w:r>
        <w:t xml:space="preserve">7. Budget</w:t>
      </w:r>
    </w:p>
    <w:p>
      <w:pPr>
        <w:pStyle w:val="FirstParagraph"/>
      </w:pPr>
      <w:r>
        <w:t xml:space="preserve">The estimated budget for this study is [Amount], which will cover the following expenses:</w:t>
      </w:r>
    </w:p>
    <w:p>
      <w:pPr>
        <w:numPr>
          <w:ilvl w:val="0"/>
          <w:numId w:val="1005"/>
        </w:numPr>
        <w:pStyle w:val="Compact"/>
      </w:pPr>
      <w:r>
        <w:t xml:space="preserve">Participant compensation</w:t>
      </w:r>
    </w:p>
    <w:p>
      <w:pPr>
        <w:numPr>
          <w:ilvl w:val="0"/>
          <w:numId w:val="1005"/>
        </w:numPr>
        <w:pStyle w:val="Compact"/>
      </w:pPr>
      <w:r>
        <w:t xml:space="preserve">Research materials and equipment</w:t>
      </w:r>
    </w:p>
    <w:p>
      <w:pPr>
        <w:numPr>
          <w:ilvl w:val="0"/>
          <w:numId w:val="1005"/>
        </w:numPr>
        <w:pStyle w:val="Compact"/>
      </w:pPr>
      <w:r>
        <w:t xml:space="preserve">Data analysis software</w:t>
      </w:r>
    </w:p>
    <w:p>
      <w:pPr>
        <w:numPr>
          <w:ilvl w:val="0"/>
          <w:numId w:val="1005"/>
        </w:numPr>
        <w:pStyle w:val="Compact"/>
      </w:pPr>
      <w:r>
        <w:t xml:space="preserve">Personnel costs</w:t>
      </w:r>
    </w:p>
    <w:p>
      <w:pPr>
        <w:numPr>
          <w:ilvl w:val="0"/>
          <w:numId w:val="1005"/>
        </w:numPr>
        <w:pStyle w:val="Compact"/>
      </w:pPr>
      <w:r>
        <w:t xml:space="preserve">Travel and accommodation</w:t>
      </w:r>
    </w:p>
    <w:bookmarkEnd w:id="32"/>
    <w:bookmarkStart w:id="33" w:name="dissemination-of-results"/>
    <w:p>
      <w:pPr>
        <w:pStyle w:val="Heading2"/>
      </w:pPr>
      <w:r>
        <w:t xml:space="preserve">8. Dissemination of Results</w:t>
      </w:r>
    </w:p>
    <w:p>
      <w:pPr>
        <w:pStyle w:val="FirstParagraph"/>
      </w:pPr>
      <w:r>
        <w:t xml:space="preserve">The results of this study will be disseminated through various channels, including academic journals, conferences, and public presentations. We aim to share our findings with policymakers, business leaders, and the general public to promote a better understanding of the cultural factors influencing economic decision-making in Kyoto and beyond.</w:t>
      </w:r>
    </w:p>
    <w:p>
      <w:pPr>
        <w:pStyle w:val="BodyText"/>
      </w:pPr>
      <w:r>
        <w:rPr>
          <w:bCs/>
          <w:b/>
        </w:rPr>
        <w:t xml:space="preserve">Note:</w:t>
      </w:r>
      <w:r>
        <w:t xml:space="preserve"> </w:t>
      </w:r>
      <w:r>
        <w:t xml:space="preserve">This protocol is subject to review and approval by the relevant ethics committee. Any changes to the protocol must be approved by the committee before implementation.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Kyoto</dc:title>
  <dc:creator/>
  <dc:language>en</dc:language>
  <cp:keywords/>
  <dcterms:created xsi:type="dcterms:W3CDTF">2026-10-10T10:54:49Z</dcterms:created>
  <dcterms:modified xsi:type="dcterms:W3CDTF">2026-10-10T10:54:49Z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