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Japan</w:t>
      </w:r>
      <w:r>
        <w:t xml:space="preserve"> </w:t>
      </w:r>
      <w:r>
        <w:t xml:space="preserve">Tokyo</w:t>
      </w:r>
    </w:p>
    <w:bookmarkStart w:id="30" w:name="X02fe279c94a910d021bda886f037d918ae9df90"/>
    <w:p>
      <w:pPr>
        <w:pStyle w:val="Heading1"/>
      </w:pPr>
      <w:r>
        <w:t xml:space="preserve">Experiment Protocol: Behavioral Decision-Making in Urban Environments</w:t>
      </w:r>
    </w:p>
    <w:p>
      <w:pPr>
        <w:pStyle w:val="FirstParagraph"/>
      </w:pPr>
      <w:r>
        <w:rPr>
          <w:bCs/>
          <w:b/>
        </w:rPr>
        <w:t xml:space="preserve">Protocol ID:</w:t>
      </w:r>
      <w:r>
        <w:t xml:space="preserve"> </w:t>
      </w:r>
      <w:r>
        <w:t xml:space="preserve">JPN-TKY-ECON-2024-001</w:t>
      </w:r>
    </w:p>
    <w:p>
      <w:pPr>
        <w:pStyle w:val="BodyText"/>
      </w:pPr>
      <w:r>
        <w:rPr>
          <w:bCs/>
          <w:b/>
        </w:rPr>
        <w:t xml:space="preserve">Principal Investigator:</w:t>
      </w:r>
      <w:r>
        <w:t xml:space="preserve"> </w:t>
      </w:r>
      <w:r>
        <w:t xml:space="preserve">Lead Economist</w:t>
      </w:r>
    </w:p>
    <w:p>
      <w:pPr>
        <w:pStyle w:val="BodyText"/>
      </w:pPr>
      <w:r>
        <w:rPr>
          <w:bCs/>
          <w:b/>
        </w:rPr>
        <w:t xml:space="preserve">Location:</w:t>
      </w:r>
      <w:r>
        <w:t xml:space="preserve"> </w:t>
      </w:r>
      <w:r>
        <w:t xml:space="preserve">Japan Tokyo (Specifically: Shibuya, Shinjuku, and Chiyoda wards)</w:t>
      </w:r>
    </w:p>
    <w:p>
      <w:pPr>
        <w:pStyle w:val="BodyText"/>
      </w:pPr>
      <w:r>
        <w:rPr>
          <w:bCs/>
          <w:b/>
        </w:rPr>
        <w:t xml:space="preserve">Date of Implementation:</w:t>
      </w:r>
      <w:r>
        <w:t xml:space="preserve"> </w:t>
      </w:r>
      <w:r>
        <w:t xml:space="preserve">October 2024</w:t>
      </w:r>
    </w:p>
    <w:p>
      <w:pPr>
        <w:pStyle w:val="BodyText"/>
      </w:pPr>
      <w:r>
        <w:rPr>
          <w:bCs/>
          <w:b/>
        </w:rPr>
        <w:t xml:space="preserve">Subject:</w:t>
      </w:r>
      <w:r>
        <w:t xml:space="preserve"> </w:t>
      </w:r>
      <w:r>
        <w:t xml:space="preserve">Consumer Choice and Risk Aversion in High-Density Urban Markets</w:t>
      </w:r>
    </w:p>
    <w:bookmarkStart w:id="20" w:name="introduction-and-objective"/>
    <w:p>
      <w:pPr>
        <w:pStyle w:val="Heading2"/>
      </w:pPr>
      <w:r>
        <w:t xml:space="preserve">1. Introduction and Objective</w:t>
      </w:r>
    </w:p>
    <w:p>
      <w:pPr>
        <w:pStyle w:val="FirstParagraph"/>
      </w:pPr>
      <w:r>
        <w:t xml:space="preserve">This Experiment Protocol outlines the methodology for a field study conducted by a team of professional Economists within the metropolitan area of Japan Tokyo. The primary objective is to analyze how high-density urban environments influence individual economic decision-making processes, specifically focusing on risk aversion, time preference, and social conformity.</w:t>
      </w:r>
    </w:p>
    <w:p>
      <w:pPr>
        <w:pStyle w:val="BodyText"/>
      </w:pPr>
      <w:r>
        <w:t xml:space="preserve">Tokyo presents a unique laboratory for economic analysis due to its distinct cultural emphasis on group harmony (Wa), high levels of social trust, and complex transit infrastructure. This study aims to bridge the gap between theoretical economic models and observed behavior in one of the world's most dynamic financial and consumer hubs.</w:t>
      </w:r>
    </w:p>
    <w:bookmarkEnd w:id="20"/>
    <w:bookmarkStart w:id="21" w:name="ethical-considerations-and-compliance"/>
    <w:p>
      <w:pPr>
        <w:pStyle w:val="Heading2"/>
      </w:pPr>
      <w:r>
        <w:t xml:space="preserve">2. Ethical Considerations and Compliance</w:t>
      </w:r>
    </w:p>
    <w:p>
      <w:pPr>
        <w:pStyle w:val="FirstParagraph"/>
      </w:pPr>
      <w:r>
        <w:t xml:space="preserve">All procedures must strictly adhere to the ethical guidelines established by the Japanese Society for Economics and the local Institutional Review Board (IRB) in Tokyo. Key ethical mandates include:</w:t>
      </w:r>
    </w:p>
    <w:p>
      <w:pPr>
        <w:numPr>
          <w:ilvl w:val="0"/>
          <w:numId w:val="1001"/>
        </w:numPr>
        <w:pStyle w:val="Compact"/>
      </w:pPr>
      <w:r>
        <w:rPr>
          <w:bCs/>
          <w:b/>
        </w:rPr>
        <w:t xml:space="preserve">Informed Consent:</w:t>
      </w:r>
      <w:r>
        <w:t xml:space="preserve"> </w:t>
      </w:r>
      <w:r>
        <w:t xml:space="preserve">Participants must provide explicit consent prior to data collection. Consent forms will be provided in both Japanese and English to ensure clarity.</w:t>
      </w:r>
    </w:p>
    <w:p>
      <w:pPr>
        <w:numPr>
          <w:ilvl w:val="0"/>
          <w:numId w:val="1001"/>
        </w:numPr>
        <w:pStyle w:val="Compact"/>
      </w:pPr>
      <w:r>
        <w:rPr>
          <w:bCs/>
          <w:b/>
        </w:rPr>
        <w:t xml:space="preserve">Anonymity:</w:t>
      </w:r>
      <w:r>
        <w:t xml:space="preserve"> </w:t>
      </w:r>
      <w:r>
        <w:t xml:space="preserve">No personally identifiable information (PII) will be linked to economic choices. Data will be aggregated to protect individual privacy.</w:t>
      </w:r>
    </w:p>
    <w:p>
      <w:pPr>
        <w:numPr>
          <w:ilvl w:val="0"/>
          <w:numId w:val="1001"/>
        </w:numPr>
        <w:pStyle w:val="Compact"/>
      </w:pPr>
      <w:r>
        <w:rPr>
          <w:bCs/>
          <w:b/>
        </w:rPr>
        <w:t xml:space="preserve">Voluntary Participation:</w:t>
      </w:r>
      <w:r>
        <w:t xml:space="preserve"> </w:t>
      </w:r>
      <w:r>
        <w:t xml:space="preserve">Subjects must understand that participation is entirely voluntary and they may withdraw at any time without penalty.</w:t>
      </w:r>
    </w:p>
    <w:p>
      <w:pPr>
        <w:numPr>
          <w:ilvl w:val="0"/>
          <w:numId w:val="1001"/>
        </w:numPr>
        <w:pStyle w:val="Compact"/>
      </w:pPr>
      <w:r>
        <w:rPr>
          <w:bCs/>
          <w:b/>
        </w:rPr>
        <w:t xml:space="preserve">Cultural Sensitivity:</w:t>
      </w:r>
      <w:r>
        <w:t xml:space="preserve"> </w:t>
      </w:r>
      <w:r>
        <w:t xml:space="preserve">Researchers must respect local customs, including bowing etiquette and appropriate attire, to ensure the study is conducted with dignity.</w:t>
      </w:r>
    </w:p>
    <w:bookmarkEnd w:id="21"/>
    <w:bookmarkStart w:id="22" w:name="participant-selection-and-demographics"/>
    <w:p>
      <w:pPr>
        <w:pStyle w:val="Heading2"/>
      </w:pPr>
      <w:r>
        <w:t xml:space="preserve">3. Participant Selection and Demographics</w:t>
      </w:r>
    </w:p>
    <w:p>
      <w:pPr>
        <w:pStyle w:val="FirstParagraph"/>
      </w:pPr>
      <w:r>
        <w:t xml:space="preserve">The Economist team will recruit a diverse sample of 500 participants across three distinct zones in Japan Tokyo to account for socioeconomic variance:</w:t>
      </w:r>
    </w:p>
    <w:p>
      <w:pPr>
        <w:numPr>
          <w:ilvl w:val="0"/>
          <w:numId w:val="1002"/>
        </w:numPr>
        <w:pStyle w:val="Compact"/>
      </w:pPr>
      <w:r>
        <w:rPr>
          <w:bCs/>
          <w:b/>
        </w:rPr>
        <w:t xml:space="preserve">Shibuya:</w:t>
      </w:r>
      <w:r>
        <w:t xml:space="preserve"> </w:t>
      </w:r>
      <w:r>
        <w:t xml:space="preserve">Targeting younger demographics and students to analyze risk-taking behavior and trend adoption.</w:t>
      </w:r>
    </w:p>
    <w:p>
      <w:pPr>
        <w:numPr>
          <w:ilvl w:val="0"/>
          <w:numId w:val="1002"/>
        </w:numPr>
        <w:pStyle w:val="Compact"/>
      </w:pPr>
      <w:r>
        <w:rPr>
          <w:bCs/>
          <w:b/>
        </w:rPr>
        <w:t xml:space="preserve">Shinjuku:</w:t>
      </w:r>
      <w:r>
        <w:t xml:space="preserve"> </w:t>
      </w:r>
      <w:r>
        <w:t xml:space="preserve">Targeting working professionals and salarymen to study time-value trade-offs and commuting economics.</w:t>
      </w:r>
    </w:p>
    <w:p>
      <w:pPr>
        <w:numPr>
          <w:ilvl w:val="0"/>
          <w:numId w:val="1002"/>
        </w:numPr>
        <w:pStyle w:val="Compact"/>
      </w:pPr>
      <w:r>
        <w:rPr>
          <w:bCs/>
          <w:b/>
        </w:rPr>
        <w:t xml:space="preserve">Chiyoda:</w:t>
      </w:r>
      <w:r>
        <w:t xml:space="preserve"> </w:t>
      </w:r>
      <w:r>
        <w:t xml:space="preserve">Targeting government workers and financial sector employees to analyze risk aversion and regulatory compliance attitudes.</w:t>
      </w:r>
    </w:p>
    <w:p>
      <w:pPr>
        <w:pStyle w:val="FirstParagraph"/>
      </w:pPr>
      <w:r>
        <w:t xml:space="preserve">Inclusion criteria require participants to be at least 18 years old and residents of the Kanto region for a minimum of one year.</w:t>
      </w:r>
    </w:p>
    <w:bookmarkEnd w:id="22"/>
    <w:bookmarkStart w:id="26" w:name="experimental-design"/>
    <w:p>
      <w:pPr>
        <w:pStyle w:val="Heading2"/>
      </w:pPr>
      <w:r>
        <w:t xml:space="preserve">4. Experimental Design</w:t>
      </w:r>
    </w:p>
    <w:p>
      <w:pPr>
        <w:pStyle w:val="FirstParagraph"/>
      </w:pPr>
      <w:r>
        <w:t xml:space="preserve">The study utilizes a randomized controlled trial (RCT) framework. Participants will be presented with a series of hypothetical and real-stakes economic scenarios designed to test specific hypotheses regarding urban behavior.</w:t>
      </w:r>
    </w:p>
    <w:bookmarkStart w:id="23" w:name="X4c91c3fdd05105dbc55861e5afd1dc21624cebd"/>
    <w:p>
      <w:pPr>
        <w:pStyle w:val="Heading3"/>
      </w:pPr>
      <w:r>
        <w:t xml:space="preserve">4.1 Scenario A: The Commuter's Dilemma (Time vs. Money)</w:t>
      </w:r>
    </w:p>
    <w:p>
      <w:pPr>
        <w:pStyle w:val="FirstParagraph"/>
      </w:pPr>
      <w:r>
        <w:t xml:space="preserve">Participants will be asked to choose between a faster, more expensive route and a slower, cheaper route for a hypothetical commute. This tests the marginal utility of time in a congested city like Tokyo.</w:t>
      </w:r>
    </w:p>
    <w:bookmarkEnd w:id="23"/>
    <w:bookmarkStart w:id="24" w:name="scenario-b-social-conformity-in-spending"/>
    <w:p>
      <w:pPr>
        <w:pStyle w:val="Heading3"/>
      </w:pPr>
      <w:r>
        <w:t xml:space="preserve">4.2 Scenario B: Social Conformity in Spending</w:t>
      </w:r>
    </w:p>
    <w:p>
      <w:pPr>
        <w:pStyle w:val="FirstParagraph"/>
      </w:pPr>
      <w:r>
        <w:t xml:space="preserve">Participants will be shown a scenario where their peer group is purchasing a specific good. They must decide whether to conform to the group choice or select an alternative based on personal preference. This measures the economic impact of social pressure.</w:t>
      </w:r>
    </w:p>
    <w:bookmarkEnd w:id="24"/>
    <w:bookmarkStart w:id="25" w:name="scenario-c-risk-and-uncertainty"/>
    <w:p>
      <w:pPr>
        <w:pStyle w:val="Heading3"/>
      </w:pPr>
      <w:r>
        <w:t xml:space="preserve">4.3 Scenario C: Risk and Uncertainty</w:t>
      </w:r>
    </w:p>
    <w:p>
      <w:pPr>
        <w:pStyle w:val="FirstParagraph"/>
      </w:pPr>
      <w:r>
        <w:t xml:space="preserve">Using a modified Allais Paradox setup, participants will choose between guaranteed small rewards and probabilistic large rewards. This assesses risk tolerance levels in a stable economic environment.</w:t>
      </w:r>
    </w:p>
    <w:bookmarkEnd w:id="25"/>
    <w:bookmarkEnd w:id="26"/>
    <w:bookmarkStart w:id="27" w:name="procedure-and-implementation"/>
    <w:p>
      <w:pPr>
        <w:pStyle w:val="Heading2"/>
      </w:pPr>
      <w:r>
        <w:t xml:space="preserve">5. Procedure and Implementation</w:t>
      </w:r>
    </w:p>
    <w:p>
      <w:pPr>
        <w:pStyle w:val="FirstParagraph"/>
      </w:pPr>
      <w:r>
        <w:t xml:space="preserve">The fieldwork will be conducted over a period of four weeks. The Economist team will operate from temporary research stations located in public spaces with high foot traffic, such as near major JR stations.</w:t>
      </w:r>
    </w:p>
    <w:p>
      <w:pPr>
        <w:numPr>
          <w:ilvl w:val="0"/>
          <w:numId w:val="1003"/>
        </w:numPr>
        <w:pStyle w:val="Compact"/>
      </w:pPr>
      <w:r>
        <w:rPr>
          <w:bCs/>
          <w:b/>
        </w:rPr>
        <w:t xml:space="preserve">Recruitment:</w:t>
      </w:r>
      <w:r>
        <w:t xml:space="preserve"> </w:t>
      </w:r>
      <w:r>
        <w:t xml:space="preserve">Researchers will approach potential participants politely, explaining the study's purpose briefly.</w:t>
      </w:r>
    </w:p>
    <w:p>
      <w:pPr>
        <w:numPr>
          <w:ilvl w:val="0"/>
          <w:numId w:val="1003"/>
        </w:numPr>
        <w:pStyle w:val="Compact"/>
      </w:pPr>
      <w:r>
        <w:rPr>
          <w:bCs/>
          <w:b/>
        </w:rPr>
        <w:t xml:space="preserve">Onboarding:</w:t>
      </w:r>
      <w:r>
        <w:t xml:space="preserve"> </w:t>
      </w:r>
      <w:r>
        <w:t xml:space="preserve">Eligible participants will sign the consent form and be assigned a unique ID code.</w:t>
      </w:r>
    </w:p>
    <w:p>
      <w:pPr>
        <w:numPr>
          <w:ilvl w:val="0"/>
          <w:numId w:val="1003"/>
        </w:numPr>
        <w:pStyle w:val="Compact"/>
      </w:pPr>
      <w:r>
        <w:rPr>
          <w:bCs/>
          <w:b/>
        </w:rPr>
        <w:t xml:space="preserve">Data Collection:</w:t>
      </w:r>
      <w:r>
        <w:t xml:space="preserve"> </w:t>
      </w:r>
      <w:r>
        <w:t xml:space="preserve">Participants will complete a digital survey on a tablet provided by the research team. The survey includes the experimental scenarios and demographic questions.</w:t>
      </w:r>
    </w:p>
    <w:p>
      <w:pPr>
        <w:numPr>
          <w:ilvl w:val="0"/>
          <w:numId w:val="1003"/>
        </w:numPr>
        <w:pStyle w:val="Compact"/>
      </w:pPr>
      <w:r>
        <w:rPr>
          <w:bCs/>
          <w:b/>
        </w:rPr>
        <w:t xml:space="preserve">Incentives:</w:t>
      </w:r>
      <w:r>
        <w:t xml:space="preserve"> </w:t>
      </w:r>
      <w:r>
        <w:t xml:space="preserve">To ensure serious engagement, participants will receive a small monetary incentive (e.g., 500 JPY) or a gift card upon completion.</w:t>
      </w:r>
    </w:p>
    <w:p>
      <w:pPr>
        <w:pStyle w:val="FirstParagraph"/>
      </w:pPr>
      <w:r>
        <w:t xml:space="preserve">Note: Researchers must be prepared to handle language barriers. Bilingual staff will be present at all times to assist non-Japanese speakers if necessary, though the primary target population is Japanese-speaking.</w:t>
      </w:r>
    </w:p>
    <w:bookmarkEnd w:id="27"/>
    <w:bookmarkStart w:id="28" w:name="data-analysis"/>
    <w:p>
      <w:pPr>
        <w:pStyle w:val="Heading2"/>
      </w:pPr>
      <w:r>
        <w:t xml:space="preserve">6. Data Analysis</w:t>
      </w:r>
    </w:p>
    <w:p>
      <w:pPr>
        <w:pStyle w:val="FirstParagraph"/>
      </w:pPr>
      <w:r>
        <w:t xml:space="preserve">Upon completion of data collection, the Economist team will perform a rigorous statistical analysis. Methods will include:</w:t>
      </w:r>
    </w:p>
    <w:p>
      <w:pPr>
        <w:numPr>
          <w:ilvl w:val="0"/>
          <w:numId w:val="1004"/>
        </w:numPr>
        <w:pStyle w:val="Compact"/>
      </w:pPr>
      <w:r>
        <w:rPr>
          <w:bCs/>
          <w:b/>
        </w:rPr>
        <w:t xml:space="preserve">Regression Analysis:</w:t>
      </w:r>
      <w:r>
        <w:t xml:space="preserve"> </w:t>
      </w:r>
      <w:r>
        <w:t xml:space="preserve">To determine the correlation between demographic variables (age, income, location) and economic choices.</w:t>
      </w:r>
    </w:p>
    <w:p>
      <w:pPr>
        <w:numPr>
          <w:ilvl w:val="0"/>
          <w:numId w:val="1004"/>
        </w:numPr>
        <w:pStyle w:val="Compact"/>
      </w:pPr>
      <w:r>
        <w:rPr>
          <w:bCs/>
          <w:b/>
        </w:rPr>
        <w:t xml:space="preserve">Comparative Analysis:</w:t>
      </w:r>
      <w:r>
        <w:t xml:space="preserve"> </w:t>
      </w:r>
      <w:r>
        <w:t xml:space="preserve">Comparing results across the three Tokyo wards to identify regional economic behavioral differences.</w:t>
      </w:r>
    </w:p>
    <w:p>
      <w:pPr>
        <w:numPr>
          <w:ilvl w:val="0"/>
          <w:numId w:val="1004"/>
        </w:numPr>
        <w:pStyle w:val="Compact"/>
      </w:pPr>
      <w:r>
        <w:rPr>
          <w:bCs/>
          <w:b/>
        </w:rPr>
        <w:t xml:space="preserve">Model Validation:</w:t>
      </w:r>
      <w:r>
        <w:t xml:space="preserve"> </w:t>
      </w:r>
      <w:r>
        <w:t xml:space="preserve">Testing whether the observed behaviors align with standard neoclassical economic models or if they require behavioral economic adjustments.</w:t>
      </w:r>
    </w:p>
    <w:bookmarkEnd w:id="28"/>
    <w:bookmarkStart w:id="29" w:name="conclusion-and-reporting"/>
    <w:p>
      <w:pPr>
        <w:pStyle w:val="Heading2"/>
      </w:pPr>
      <w:r>
        <w:t xml:space="preserve">7. Conclusion and Reporting</w:t>
      </w:r>
    </w:p>
    <w:p>
      <w:pPr>
        <w:pStyle w:val="FirstParagraph"/>
      </w:pPr>
      <w:r>
        <w:t xml:space="preserve">The findings of this Experiment Protocol will be compiled into a comprehensive report. The results will contribute to the broader understanding of how urban density and cultural context shape economic rationality. This data is particularly valuable for policymakers in Japan Tokyo looking to optimize public transport pricing, urban planning, and consumer protection regulations.</w:t>
      </w:r>
    </w:p>
    <w:p>
      <w:pPr>
        <w:pStyle w:val="BodyText"/>
      </w:pPr>
      <w:r>
        <w:t xml:space="preserve">All data will be stored securely in compliance with Japan's Act on the Protection of Personal Information (APPI). The final report will be submitted to the funding body and relevant academic journals within six months of the study's conclusion.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Japan Tokyo</dc:title>
  <dc:creator/>
  <dc:language>en</dc:language>
  <cp:keywords/>
  <dcterms:created xsi:type="dcterms:W3CDTF">2026-10-10T06:28:19Z</dcterms:created>
  <dcterms:modified xsi:type="dcterms:W3CDTF">2026-10-10T06:28:19Z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