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Economic</w:t>
      </w:r>
      <w:r>
        <w:t xml:space="preserve"> </w:t>
      </w:r>
      <w:r>
        <w:t xml:space="preserve">Behavior</w:t>
      </w:r>
      <w:r>
        <w:t xml:space="preserve"> </w:t>
      </w:r>
      <w:r>
        <w:t xml:space="preserve">in</w:t>
      </w:r>
      <w:r>
        <w:t xml:space="preserve"> </w:t>
      </w:r>
      <w:r>
        <w:t xml:space="preserve">Kuwait</w:t>
      </w:r>
      <w:r>
        <w:t xml:space="preserve"> </w:t>
      </w:r>
      <w:r>
        <w:t xml:space="preserve">City</w:t>
      </w:r>
    </w:p>
    <w:bookmarkStart w:id="20" w:name="X71dfcd8bb6cfd7ee268b3c338b6821c60196aa6"/>
    <w:p>
      <w:pPr>
        <w:pStyle w:val="Heading1"/>
      </w:pPr>
      <w:r>
        <w:t xml:space="preserve">Experiment Protocol: Behavioral Economics in Urban Environments</w:t>
      </w:r>
    </w:p>
    <w:p>
      <w:pPr>
        <w:pStyle w:val="FirstParagraph"/>
      </w:pPr>
      <w:r>
        <w:rPr>
          <w:bCs/>
          <w:b/>
        </w:rPr>
        <w:t xml:space="preserve">Subject:</w:t>
      </w:r>
      <w:r>
        <w:t xml:space="preserve"> </w:t>
      </w:r>
      <w:r>
        <w:t xml:space="preserve">The Role of the Economist in Analyzing Market Dynamics</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designed to investigate consumer behavior and market efficiency within the specific socio-economic context of Kuwait City. The primary objective is to observe how local economic agents respond to variable pricing strategies and information asymmetry in real-world settings.</w:t>
      </w:r>
    </w:p>
    <w:p>
      <w:pPr>
        <w:pStyle w:val="BodyText"/>
      </w:pPr>
      <w:r>
        <w:t xml:space="preserve">The central figure in this protocol is the</w:t>
      </w:r>
      <w:r>
        <w:t xml:space="preserve"> </w:t>
      </w:r>
      <w:r>
        <w:rPr>
          <w:bCs/>
          <w:b/>
        </w:rPr>
        <w:t xml:space="preserve">Economist</w:t>
      </w:r>
      <w:r>
        <w:t xml:space="preserve">. In this context, the Economist is not merely an observer but the architect of the experimental design, responsible for formulating hypotheses, ensuring methodological rigor, and interpreting data through the lens of microeconomic theory. The unique urban landscape of Kuwait City, characterized by a blend of traditional souqs and modern commercial districts, provides a fertile ground for testing theories regarding price elasticity and cultural influences on purchasing decisions.</w:t>
      </w:r>
    </w:p>
    <w:bookmarkEnd w:id="21"/>
    <w:bookmarkStart w:id="22" w:name="theoretical-framework"/>
    <w:p>
      <w:pPr>
        <w:pStyle w:val="Heading2"/>
      </w:pPr>
      <w:r>
        <w:t xml:space="preserve">2. Theoretical Framework</w:t>
      </w:r>
    </w:p>
    <w:p>
      <w:pPr>
        <w:pStyle w:val="FirstParagraph"/>
      </w:pPr>
      <w:r>
        <w:t xml:space="preserve">The experiment is grounded in the principles of behavioral economics. While traditional models assume rational actors, this protocol seeks to identify deviations from rationality influenced by local cultural norms in Kuwait. The Economist will test the hypothesis that social signaling and trust mechanisms play a more significant role in transaction completion in Kuwait City than in Western markets.</w:t>
      </w:r>
    </w:p>
    <w:p>
      <w:pPr>
        <w:pStyle w:val="BodyText"/>
      </w:pPr>
      <w:r>
        <w:t xml:space="preserve">Key variables include:</w:t>
      </w:r>
    </w:p>
    <w:p>
      <w:pPr>
        <w:numPr>
          <w:ilvl w:val="0"/>
          <w:numId w:val="1001"/>
        </w:numPr>
        <w:pStyle w:val="Compact"/>
      </w:pPr>
      <w:r>
        <w:rPr>
          <w:bCs/>
          <w:b/>
        </w:rPr>
        <w:t xml:space="preserve">Price Sensitivity:</w:t>
      </w:r>
      <w:r>
        <w:t xml:space="preserve"> </w:t>
      </w:r>
      <w:r>
        <w:t xml:space="preserve">How consumers in Kuwait City react to dynamic pricing.</w:t>
      </w:r>
    </w:p>
    <w:p>
      <w:pPr>
        <w:numPr>
          <w:ilvl w:val="0"/>
          <w:numId w:val="1001"/>
        </w:numPr>
        <w:pStyle w:val="Compact"/>
      </w:pPr>
      <w:r>
        <w:rPr>
          <w:bCs/>
          <w:b/>
        </w:rPr>
        <w:t xml:space="preserve">Information Availability:</w:t>
      </w:r>
      <w:r>
        <w:t xml:space="preserve"> </w:t>
      </w:r>
      <w:r>
        <w:t xml:space="preserve">The impact of transparent vs. opaque pricing on consumer trust.</w:t>
      </w:r>
    </w:p>
    <w:p>
      <w:pPr>
        <w:numPr>
          <w:ilvl w:val="0"/>
          <w:numId w:val="1001"/>
        </w:numPr>
        <w:pStyle w:val="Compact"/>
      </w:pPr>
      <w:r>
        <w:rPr>
          <w:bCs/>
          <w:b/>
        </w:rPr>
        <w:t xml:space="preserve">Cultural Factors:</w:t>
      </w:r>
      <w:r>
        <w:t xml:space="preserve"> </w:t>
      </w:r>
      <w:r>
        <w:t xml:space="preserve">The influence of local customs on negotiation and value perception.</w:t>
      </w:r>
    </w:p>
    <w:bookmarkEnd w:id="22"/>
    <w:bookmarkStart w:id="25" w:name="methodology-and-design"/>
    <w:p>
      <w:pPr>
        <w:pStyle w:val="Heading2"/>
      </w:pPr>
      <w:r>
        <w:t xml:space="preserve">3. Methodology and Design</w:t>
      </w:r>
    </w:p>
    <w:bookmarkStart w:id="23" w:name="study-design"/>
    <w:p>
      <w:pPr>
        <w:pStyle w:val="Heading3"/>
      </w:pPr>
      <w:r>
        <w:t xml:space="preserve">3.1 Study Design</w:t>
      </w:r>
    </w:p>
    <w:p>
      <w:pPr>
        <w:pStyle w:val="FirstParagraph"/>
      </w:pPr>
      <w:r>
        <w:t xml:space="preserve">The protocol employs a randomized controlled trial (RCT) methodology. The Economist will oversee the setup of simulated market stalls in high-traffic areas of Kuwait City, such as the Souq Al-Mubarakiya and the Avenues Mall vicinity. These stalls will sell standardized goods with identical quality but varying price presentation strategies.</w:t>
      </w:r>
    </w:p>
    <w:bookmarkEnd w:id="23"/>
    <w:bookmarkStart w:id="24" w:name="the-role-of-the-economist"/>
    <w:p>
      <w:pPr>
        <w:pStyle w:val="Heading3"/>
      </w:pPr>
      <w:r>
        <w:t xml:space="preserve">3.2 The Role of the Economist</w:t>
      </w:r>
    </w:p>
    <w:p>
      <w:pPr>
        <w:pStyle w:val="FirstParagraph"/>
      </w:pPr>
      <w:r>
        <w:t xml:space="preserve">The Economist is tasked with several critical responsibilities throughout the experiment:</w:t>
      </w:r>
    </w:p>
    <w:p>
      <w:pPr>
        <w:numPr>
          <w:ilvl w:val="0"/>
          <w:numId w:val="1002"/>
        </w:numPr>
        <w:pStyle w:val="Compact"/>
      </w:pPr>
      <w:r>
        <w:rPr>
          <w:bCs/>
          <w:b/>
        </w:rPr>
        <w:t xml:space="preserve">Hypothesis Formulation:</w:t>
      </w:r>
      <w:r>
        <w:t xml:space="preserve"> </w:t>
      </w:r>
      <w:r>
        <w:t xml:space="preserve">Defining clear, testable predictions regarding consumer behavior in Kuwait.</w:t>
      </w:r>
    </w:p>
    <w:p>
      <w:pPr>
        <w:numPr>
          <w:ilvl w:val="0"/>
          <w:numId w:val="1002"/>
        </w:numPr>
        <w:pStyle w:val="Compact"/>
      </w:pPr>
      <w:r>
        <w:rPr>
          <w:bCs/>
          <w:b/>
        </w:rPr>
        <w:t xml:space="preserve">Variable Control:</w:t>
      </w:r>
      <w:r>
        <w:t xml:space="preserve"> </w:t>
      </w:r>
      <w:r>
        <w:t xml:space="preserve">Ensuring that external factors, such as weather or time of day, are accounted for in the data analysis.</w:t>
      </w:r>
    </w:p>
    <w:p>
      <w:pPr>
        <w:numPr>
          <w:ilvl w:val="0"/>
          <w:numId w:val="1002"/>
        </w:numPr>
        <w:pStyle w:val="Compact"/>
      </w:pPr>
      <w:r>
        <w:rPr>
          <w:bCs/>
          <w:b/>
        </w:rPr>
        <w:t xml:space="preserve">Ethical Oversight:</w:t>
      </w:r>
      <w:r>
        <w:t xml:space="preserve"> </w:t>
      </w:r>
      <w:r>
        <w:t xml:space="preserve">Guaranteeing that all participants are treated with respect and that their privacy is maintained in accordance with Kuwaiti regulations.</w:t>
      </w:r>
    </w:p>
    <w:p>
      <w:pPr>
        <w:numPr>
          <w:ilvl w:val="0"/>
          <w:numId w:val="1002"/>
        </w:numPr>
        <w:pStyle w:val="Compact"/>
      </w:pPr>
      <w:r>
        <w:rPr>
          <w:bCs/>
          <w:b/>
        </w:rPr>
        <w:t xml:space="preserve">Data Interpretation:</w:t>
      </w:r>
      <w:r>
        <w:t xml:space="preserve"> </w:t>
      </w:r>
      <w:r>
        <w:t xml:space="preserve">Applying statistical models to determine the significance of the observed behaviors.</w:t>
      </w:r>
    </w:p>
    <w:bookmarkEnd w:id="24"/>
    <w:bookmarkEnd w:id="25"/>
    <w:bookmarkStart w:id="26" w:name="location-and-context-kuwait-city"/>
    <w:p>
      <w:pPr>
        <w:pStyle w:val="Heading2"/>
      </w:pPr>
      <w:r>
        <w:t xml:space="preserve">4. Location and Context: Kuwait City</w:t>
      </w:r>
    </w:p>
    <w:p>
      <w:pPr>
        <w:pStyle w:val="FirstParagraph"/>
      </w:pPr>
      <w:r>
        <w:t xml:space="preserve">The selection of Kuwait City as the experimental site is deliberate. As the capital and largest city of Kuwait, it represents the economic heart of the nation. The city's diverse demographic, including Kuwaiti nationals and a large expatriate population, offers a unique cross-section of economic behaviors.</w:t>
      </w:r>
    </w:p>
    <w:p>
      <w:pPr>
        <w:pStyle w:val="BodyText"/>
      </w:pPr>
      <w:r>
        <w:t xml:space="preserve">The protocol specifically targets two distinct zones within Kuwait City:</w:t>
      </w:r>
    </w:p>
    <w:p>
      <w:pPr>
        <w:numPr>
          <w:ilvl w:val="0"/>
          <w:numId w:val="1003"/>
        </w:numPr>
        <w:pStyle w:val="Compact"/>
      </w:pPr>
      <w:r>
        <w:rPr>
          <w:bCs/>
          <w:b/>
        </w:rPr>
        <w:t xml:space="preserve">Traditional Zone:</w:t>
      </w:r>
      <w:r>
        <w:t xml:space="preserve"> </w:t>
      </w:r>
      <w:r>
        <w:t xml:space="preserve">Areas like Souq Al-Mubarakiya, where haggling is customary and social interaction is integral to commerce.</w:t>
      </w:r>
    </w:p>
    <w:p>
      <w:pPr>
        <w:numPr>
          <w:ilvl w:val="0"/>
          <w:numId w:val="1003"/>
        </w:numPr>
        <w:pStyle w:val="Compact"/>
      </w:pPr>
      <w:r>
        <w:rPr>
          <w:bCs/>
          <w:b/>
        </w:rPr>
        <w:t xml:space="preserve">Modern Zone:</w:t>
      </w:r>
      <w:r>
        <w:t xml:space="preserve"> </w:t>
      </w:r>
      <w:r>
        <w:t xml:space="preserve">Commercial hubs like Salwa Road or The Avenues, where fixed pricing and digital transactions are prevalent.</w:t>
      </w:r>
    </w:p>
    <w:p>
      <w:pPr>
        <w:pStyle w:val="FirstParagraph"/>
      </w:pPr>
      <w:r>
        <w:t xml:space="preserve">By comparing these zones, the Economist can isolate the impact of the physical and cultural environment on economic decision-making.</w:t>
      </w:r>
    </w:p>
    <w:bookmarkEnd w:id="26"/>
    <w:bookmarkStart w:id="30" w:name="procedure"/>
    <w:p>
      <w:pPr>
        <w:pStyle w:val="Heading2"/>
      </w:pPr>
      <w:r>
        <w:t xml:space="preserve">5. Procedure</w:t>
      </w:r>
    </w:p>
    <w:bookmarkStart w:id="27" w:name="preparation-phase"/>
    <w:p>
      <w:pPr>
        <w:pStyle w:val="Heading3"/>
      </w:pPr>
      <w:r>
        <w:t xml:space="preserve">5.1 Preparation Phase</w:t>
      </w:r>
    </w:p>
    <w:p>
      <w:pPr>
        <w:pStyle w:val="FirstParagraph"/>
      </w:pPr>
      <w:r>
        <w:t xml:space="preserve">The Economist will collaborate with local partners to secure necessary permits from the Kuwaiti Ministry of Commerce and Industry. This phase also involves training research assistants to ensure consistent interaction with participants across all sites.</w:t>
      </w:r>
    </w:p>
    <w:bookmarkEnd w:id="27"/>
    <w:bookmarkStart w:id="28" w:name="execution-phase"/>
    <w:p>
      <w:pPr>
        <w:pStyle w:val="Heading3"/>
      </w:pPr>
      <w:r>
        <w:t xml:space="preserve">5.2 Execution Phase</w:t>
      </w:r>
    </w:p>
    <w:p>
      <w:pPr>
        <w:pStyle w:val="FirstParagraph"/>
      </w:pPr>
      <w:r>
        <w:t xml:space="preserve">Over a period of four weeks, the experiment will run daily from 10:00 AM to 8:00 PM. During this time, the Economist will monitor operations remotely and conduct random spot checks to ensure protocol adherence. Participants will be approached with a standardized script, and their responses to different pricing cues will be recorded.</w:t>
      </w:r>
    </w:p>
    <w:bookmarkEnd w:id="28"/>
    <w:bookmarkStart w:id="29" w:name="data-collection"/>
    <w:p>
      <w:pPr>
        <w:pStyle w:val="Heading3"/>
      </w:pPr>
      <w:r>
        <w:t xml:space="preserve">5.3 Data Collection</w:t>
      </w:r>
    </w:p>
    <w:p>
      <w:pPr>
        <w:pStyle w:val="FirstParagraph"/>
      </w:pPr>
      <w:r>
        <w:t xml:space="preserve">Data will be collected using digital tablets to record transaction details, including price offered, price accepted, time spent negotiating, and demographic information (with consent). The Economist will ensure that all data is anonymized to protect participant identity.</w:t>
      </w:r>
    </w:p>
    <w:bookmarkEnd w:id="29"/>
    <w:bookmarkEnd w:id="30"/>
    <w:bookmarkStart w:id="31" w:name="ethical-considerations"/>
    <w:p>
      <w:pPr>
        <w:pStyle w:val="Heading2"/>
      </w:pPr>
      <w:r>
        <w:t xml:space="preserve">6. Ethical Considerations</w:t>
      </w:r>
    </w:p>
    <w:p>
      <w:pPr>
        <w:pStyle w:val="FirstParagraph"/>
      </w:pPr>
      <w:r>
        <w:t xml:space="preserve">Adherence to ethical standards is paramount. The Economist must ensure that:</w:t>
      </w:r>
    </w:p>
    <w:p>
      <w:pPr>
        <w:numPr>
          <w:ilvl w:val="0"/>
          <w:numId w:val="1004"/>
        </w:numPr>
        <w:pStyle w:val="Compact"/>
      </w:pPr>
      <w:r>
        <w:t xml:space="preserve">All participants provide informed consent before engaging in the experiment.</w:t>
      </w:r>
    </w:p>
    <w:p>
      <w:pPr>
        <w:numPr>
          <w:ilvl w:val="0"/>
          <w:numId w:val="1004"/>
        </w:numPr>
        <w:pStyle w:val="Compact"/>
      </w:pPr>
      <w:r>
        <w:t xml:space="preserve">No deceptive practices are used that could harm participants financially or emotionally.</w:t>
      </w:r>
    </w:p>
    <w:p>
      <w:pPr>
        <w:numPr>
          <w:ilvl w:val="0"/>
          <w:numId w:val="1004"/>
        </w:numPr>
        <w:pStyle w:val="Compact"/>
      </w:pPr>
      <w:r>
        <w:t xml:space="preserve">Data is stored securely and used solely for academic and research purposes.</w:t>
      </w:r>
    </w:p>
    <w:p>
      <w:pPr>
        <w:numPr>
          <w:ilvl w:val="0"/>
          <w:numId w:val="1004"/>
        </w:numPr>
        <w:pStyle w:val="Compact"/>
      </w:pPr>
      <w:r>
        <w:t xml:space="preserve">The experiment respects local customs and religious practices in Kuwait City.</w:t>
      </w:r>
    </w:p>
    <w:bookmarkEnd w:id="31"/>
    <w:bookmarkStart w:id="32" w:name="data-analysis-and-reporting"/>
    <w:p>
      <w:pPr>
        <w:pStyle w:val="Heading2"/>
      </w:pPr>
      <w:r>
        <w:t xml:space="preserve">7. Data Analysis and Reporting</w:t>
      </w:r>
    </w:p>
    <w:p>
      <w:pPr>
        <w:pStyle w:val="FirstParagraph"/>
      </w:pPr>
      <w:r>
        <w:t xml:space="preserve">Upon completion of the data collection phase, the Economist will perform a rigorous statistical analysis. This will involve regression models to control for confounding variables and identify significant patterns in consumer behavior. The findings will be compiled into a comprehensive report, highlighting the implications for economic policy and business strategy in Kuwait.</w:t>
      </w:r>
    </w:p>
    <w:p>
      <w:pPr>
        <w:pStyle w:val="BodyText"/>
      </w:pPr>
      <w:r>
        <w:t xml:space="preserve">The final report will also include recommendations for future research, potentially expanding the scope to other Gulf Cooperation Council (GCC) countries to compare regional economic behaviors.</w:t>
      </w:r>
    </w:p>
    <w:bookmarkEnd w:id="32"/>
    <w:bookmarkStart w:id="33" w:name="conclusion"/>
    <w:p>
      <w:pPr>
        <w:pStyle w:val="Heading2"/>
      </w:pPr>
      <w:r>
        <w:t xml:space="preserve">8. Conclusion</w:t>
      </w:r>
    </w:p>
    <w:p>
      <w:pPr>
        <w:pStyle w:val="FirstParagraph"/>
      </w:pPr>
      <w:r>
        <w:t xml:space="preserve">This Experiment Protocol provides a structured approach to understanding the complex interplay between economic theory and real-world behavior in Kuwait City. By placing the Economist at the center of the design and analysis, the study ensures academic rigor and relevance. The insights gained will contribute to a deeper understanding of how cultural and environmental factors shape economic decisions in one of the Middle East's most dynamic urban centers.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Economic Behavior in Kuwait City</dc:title>
  <dc:creator/>
  <dc:language>en</dc:language>
  <cp:keywords/>
  <dcterms:created xsi:type="dcterms:W3CDTF">2026-10-10T06:39:39Z</dcterms:created>
  <dcterms:modified xsi:type="dcterms:W3CDTF">2026-10-10T06:39:39Z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