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Myanmar</w:t>
      </w:r>
      <w:r>
        <w:t xml:space="preserve"> </w:t>
      </w:r>
      <w:r>
        <w:t xml:space="preserve">Yangon</w:t>
      </w:r>
    </w:p>
    <w:bookmarkStart w:id="20" w:name="X83ed688a19b9f3bc49d7485e2a30f66c0552031"/>
    <w:p>
      <w:pPr>
        <w:pStyle w:val="Heading1"/>
      </w:pPr>
      <w:r>
        <w:t xml:space="preserve">Experiment Protocol: Behavioral Economics in Urban Myanmar</w:t>
      </w:r>
    </w:p>
    <w:p>
      <w:pPr>
        <w:pStyle w:val="FirstParagraph"/>
      </w:pPr>
      <w:r>
        <w:rPr>
          <w:bCs/>
          <w:b/>
        </w:rPr>
        <w:t xml:space="preserve">Location:</w:t>
      </w:r>
      <w:r>
        <w:t xml:space="preserve"> </w:t>
      </w:r>
      <w:r>
        <w:t xml:space="preserve">Yangon, Myanmar</w:t>
      </w:r>
      <w:r>
        <w:br/>
      </w:r>
      <w:r>
        <w:rPr>
          <w:bCs/>
          <w:b/>
        </w:rPr>
        <w:t xml:space="preserve">Discipline:</w:t>
      </w:r>
      <w:r>
        <w:t xml:space="preserve"> </w:t>
      </w:r>
      <w:r>
        <w:t xml:space="preserve">Experimental Economics</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investigate economic decision-making processes among residents of Yangon, Myanmar. As the largest city and former capital of Myanmar, Yangon presents a unique economic landscape characterized by a transition from a centrally planned economy to a market-oriented system, coupled with significant informal sector activity and recent macroeconomic volatility.</w:t>
      </w:r>
    </w:p>
    <w:p>
      <w:pPr>
        <w:pStyle w:val="BodyText"/>
      </w:pPr>
      <w:r>
        <w:t xml:space="preserve">The primary objective of this study is to understand how local cultural norms, trust levels, and risk preferences influence economic behavior in this specific context. By employing rigorous experimental methods, this protocol aims to generate data that can inform policy decisions regarding financial inclusion, microfinance, and market regulation in Myanmar.</w:t>
      </w:r>
    </w:p>
    <w:bookmarkEnd w:id="21"/>
    <w:bookmarkStart w:id="22" w:name="research-objectives"/>
    <w:p>
      <w:pPr>
        <w:pStyle w:val="Heading2"/>
      </w:pPr>
      <w:r>
        <w:t xml:space="preserve">2. Research Objectives</w:t>
      </w:r>
    </w:p>
    <w:p>
      <w:pPr>
        <w:pStyle w:val="FirstParagraph"/>
      </w:pPr>
      <w:r>
        <w:t xml:space="preserve">The study seeks to answer the following core questions:</w:t>
      </w:r>
    </w:p>
    <w:p>
      <w:pPr>
        <w:numPr>
          <w:ilvl w:val="0"/>
          <w:numId w:val="1001"/>
        </w:numPr>
        <w:pStyle w:val="Compact"/>
      </w:pPr>
      <w:r>
        <w:t xml:space="preserve">How do trust and reciprocity manifest in economic exchanges among Yangon residents compared to global averages?</w:t>
      </w:r>
    </w:p>
    <w:p>
      <w:pPr>
        <w:numPr>
          <w:ilvl w:val="0"/>
          <w:numId w:val="1001"/>
        </w:numPr>
        <w:pStyle w:val="Compact"/>
      </w:pPr>
      <w:r>
        <w:t xml:space="preserve">What is the impact of currency volatility on risk aversion and savings behavior in urban Myanmar?</w:t>
      </w:r>
    </w:p>
    <w:p>
      <w:pPr>
        <w:numPr>
          <w:ilvl w:val="0"/>
          <w:numId w:val="1001"/>
        </w:numPr>
        <w:pStyle w:val="Compact"/>
      </w:pPr>
      <w:r>
        <w:t xml:space="preserve">How do social networks influence the adoption of new financial technologies or services?</w:t>
      </w:r>
    </w:p>
    <w:p>
      <w:pPr>
        <w:pStyle w:val="FirstParagraph"/>
      </w:pPr>
      <w:r>
        <w:rPr>
          <w:bCs/>
          <w:b/>
        </w:rPr>
        <w:t xml:space="preserve">Key Focus:</w:t>
      </w:r>
      <w:r>
        <w:t xml:space="preserve"> </w:t>
      </w:r>
      <w:r>
        <w:t xml:space="preserve">The protocol emphasizes the intersection of traditional social structures and modern economic pressures unique to Yangon.</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study will utilize a mixed-methods approach, combining controlled laboratory-style experiments conducted in the field with qualitative interviews. The core experiments will include:</w:t>
      </w:r>
    </w:p>
    <w:p>
      <w:pPr>
        <w:numPr>
          <w:ilvl w:val="0"/>
          <w:numId w:val="1002"/>
        </w:numPr>
        <w:pStyle w:val="Compact"/>
      </w:pPr>
      <w:r>
        <w:rPr>
          <w:bCs/>
          <w:b/>
        </w:rPr>
        <w:t xml:space="preserve">Trust Game:</w:t>
      </w:r>
      <w:r>
        <w:t xml:space="preserve"> </w:t>
      </w:r>
      <w:r>
        <w:t xml:space="preserve">To measure levels of trust and trustworthiness between participants.</w:t>
      </w:r>
    </w:p>
    <w:p>
      <w:pPr>
        <w:numPr>
          <w:ilvl w:val="0"/>
          <w:numId w:val="1002"/>
        </w:numPr>
        <w:pStyle w:val="Compact"/>
      </w:pPr>
      <w:r>
        <w:rPr>
          <w:bCs/>
          <w:b/>
        </w:rPr>
        <w:t xml:space="preserve">Ultimatum Game:</w:t>
      </w:r>
      <w:r>
        <w:t xml:space="preserve"> </w:t>
      </w:r>
      <w:r>
        <w:t xml:space="preserve">To assess fairness norms and social preferences.</w:t>
      </w:r>
    </w:p>
    <w:p>
      <w:pPr>
        <w:numPr>
          <w:ilvl w:val="0"/>
          <w:numId w:val="1002"/>
        </w:numPr>
        <w:pStyle w:val="Compact"/>
      </w:pPr>
      <w:r>
        <w:rPr>
          <w:bCs/>
          <w:b/>
        </w:rPr>
        <w:t xml:space="preserve">Risk Elicitation Task:</w:t>
      </w:r>
      <w:r>
        <w:t xml:space="preserve"> </w:t>
      </w:r>
      <w:r>
        <w:t xml:space="preserve">To quantify individual risk preferences regarding financial investments.</w:t>
      </w:r>
    </w:p>
    <w:bookmarkEnd w:id="23"/>
    <w:bookmarkStart w:id="24" w:name="sampling-strategy"/>
    <w:p>
      <w:pPr>
        <w:pStyle w:val="Heading3"/>
      </w:pPr>
      <w:r>
        <w:t xml:space="preserve">3.2 Sampling Strategy</w:t>
      </w:r>
    </w:p>
    <w:p>
      <w:pPr>
        <w:pStyle w:val="FirstParagraph"/>
      </w:pPr>
      <w:r>
        <w:t xml:space="preserve">Participants will be recruited from diverse neighborhoods in Yangon, including both affluent areas like Dagon and working-class districts like Hlaing Tharyar. The sample size is targeted at 400 participants to ensure statistical power. Stratified random sampling will be used to ensure representation across different age groups, genders, and income levels.</w:t>
      </w:r>
    </w:p>
    <w:bookmarkEnd w:id="24"/>
    <w:bookmarkStart w:id="25" w:name="incentives"/>
    <w:p>
      <w:pPr>
        <w:pStyle w:val="Heading3"/>
      </w:pPr>
      <w:r>
        <w:t xml:space="preserve">3.3 Incentives</w:t>
      </w:r>
    </w:p>
    <w:p>
      <w:pPr>
        <w:pStyle w:val="FirstParagraph"/>
      </w:pPr>
      <w:r>
        <w:t xml:space="preserve">To ensure ecological validity, participants will be incentivized with real monetary rewards in Myanmar Kyat (MMK). The incentive structure will be calibrated to represent a meaningful portion of a daily wage for the average participant, ensuring that decisions are taken seriously.</w:t>
      </w:r>
    </w:p>
    <w:bookmarkEnd w:id="25"/>
    <w:bookmarkEnd w:id="26"/>
    <w:bookmarkStart w:id="27" w:name="ethical-considerations"/>
    <w:p>
      <w:pPr>
        <w:pStyle w:val="Heading2"/>
      </w:pPr>
      <w:r>
        <w:t xml:space="preserve">4. Ethical Considerations</w:t>
      </w:r>
    </w:p>
    <w:p>
      <w:pPr>
        <w:pStyle w:val="FirstParagraph"/>
      </w:pPr>
      <w:r>
        <w:t xml:space="preserve">Ethical integrity is paramount in this Experiment Protocol. The study will adhere to the following principles:</w:t>
      </w:r>
    </w:p>
    <w:p>
      <w:pPr>
        <w:numPr>
          <w:ilvl w:val="0"/>
          <w:numId w:val="1003"/>
        </w:numPr>
        <w:pStyle w:val="Compact"/>
      </w:pPr>
      <w:r>
        <w:rPr>
          <w:bCs/>
          <w:b/>
        </w:rPr>
        <w:t xml:space="preserve">Informed Consent:</w:t>
      </w:r>
      <w:r>
        <w:t xml:space="preserve"> </w:t>
      </w:r>
      <w:r>
        <w:t xml:space="preserve">All participants will provide written or verbal consent (recorded) after receiving a clear explanation of the study's purpose, procedures, and their rights. Consent forms will be available in both English and Burmese.</w:t>
      </w:r>
    </w:p>
    <w:p>
      <w:pPr>
        <w:numPr>
          <w:ilvl w:val="0"/>
          <w:numId w:val="1003"/>
        </w:numPr>
        <w:pStyle w:val="Compact"/>
      </w:pPr>
      <w:r>
        <w:rPr>
          <w:bCs/>
          <w:b/>
        </w:rPr>
        <w:t xml:space="preserve">Confidentiality:</w:t>
      </w:r>
      <w:r>
        <w:t xml:space="preserve"> </w:t>
      </w:r>
      <w:r>
        <w:t xml:space="preserve">All data collected will be anonymized. Personal identifiers will be stored separately from experimental data.</w:t>
      </w:r>
    </w:p>
    <w:p>
      <w:pPr>
        <w:numPr>
          <w:ilvl w:val="0"/>
          <w:numId w:val="1003"/>
        </w:numPr>
        <w:pStyle w:val="Compact"/>
      </w:pPr>
      <w:r>
        <w:rPr>
          <w:bCs/>
          <w:b/>
        </w:rPr>
        <w:t xml:space="preserve">Voluntary Participation:</w:t>
      </w:r>
      <w:r>
        <w:t xml:space="preserve"> </w:t>
      </w:r>
      <w:r>
        <w:t xml:space="preserve">Participants will be informed that they can withdraw from the study at any time without penalty.</w:t>
      </w:r>
    </w:p>
    <w:p>
      <w:pPr>
        <w:numPr>
          <w:ilvl w:val="0"/>
          <w:numId w:val="1003"/>
        </w:numPr>
        <w:pStyle w:val="Compact"/>
      </w:pPr>
      <w:r>
        <w:rPr>
          <w:bCs/>
          <w:b/>
        </w:rPr>
        <w:t xml:space="preserve">Cultural Sensitivity:</w:t>
      </w:r>
      <w:r>
        <w:t xml:space="preserve"> </w:t>
      </w:r>
      <w:r>
        <w:t xml:space="preserve">Researchers will be trained to respect local customs and norms. The study will avoid topics that may be politically sensitive or cause distress.</w:t>
      </w:r>
    </w:p>
    <w:bookmarkEnd w:id="27"/>
    <w:bookmarkStart w:id="30" w:name="implementation-plan"/>
    <w:p>
      <w:pPr>
        <w:pStyle w:val="Heading2"/>
      </w:pPr>
      <w:r>
        <w:t xml:space="preserve">5. Implementation Plan</w:t>
      </w:r>
    </w:p>
    <w:bookmarkStart w:id="28" w:name="timeline"/>
    <w:p>
      <w:pPr>
        <w:pStyle w:val="Heading3"/>
      </w:pPr>
      <w:r>
        <w:t xml:space="preserve">5.1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translation, ethics approval, recruitment of local research assistants.</w:t>
            </w:r>
          </w:p>
        </w:tc>
      </w:tr>
      <w:tr>
        <w:tc>
          <w:tcPr/>
          <w:p>
            <w:pPr>
              <w:pStyle w:val="Compact"/>
              <w:jc w:val="left"/>
            </w:pPr>
            <w:r>
              <w:t xml:space="preserve">Pilot Study</w:t>
            </w:r>
          </w:p>
        </w:tc>
        <w:tc>
          <w:tcPr/>
          <w:p>
            <w:pPr>
              <w:pStyle w:val="Compact"/>
              <w:jc w:val="left"/>
            </w:pPr>
            <w:r>
              <w:t xml:space="preserve">2 Weeks</w:t>
            </w:r>
          </w:p>
        </w:tc>
        <w:tc>
          <w:tcPr/>
          <w:p>
            <w:pPr>
              <w:pStyle w:val="Compact"/>
              <w:jc w:val="left"/>
            </w:pPr>
            <w:r>
              <w:t xml:space="preserve">Small-scale testing of experiments in Yangon to refine procedures and instructions.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Conducting experiments and interviews across selected neighborhoods.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of experimental data and thematic analysis of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the final report and disseminating findings to stakeholders.</w:t>
            </w:r>
          </w:p>
        </w:tc>
      </w:tr>
    </w:tbl>
    <w:bookmarkEnd w:id="28"/>
    <w:bookmarkStart w:id="29" w:name="resources"/>
    <w:p>
      <w:pPr>
        <w:pStyle w:val="Heading3"/>
      </w:pPr>
      <w:r>
        <w:t xml:space="preserve">5.2 Resources</w:t>
      </w:r>
    </w:p>
    <w:p>
      <w:pPr>
        <w:pStyle w:val="FirstParagraph"/>
      </w:pPr>
      <w:r>
        <w:t xml:space="preserve">The study will require a team of local researchers fluent in Burmese and English, computers for running experimental software, and secure data storage solutions. Partnerships with local universities in Yangon will be established to facilitate access to venues and participants.</w:t>
      </w:r>
    </w:p>
    <w:bookmarkEnd w:id="29"/>
    <w:bookmarkEnd w:id="30"/>
    <w:bookmarkStart w:id="31" w:name="data-analysis"/>
    <w:p>
      <w:pPr>
        <w:pStyle w:val="Heading2"/>
      </w:pPr>
      <w:r>
        <w:t xml:space="preserve">6. Data Analysis</w:t>
      </w:r>
    </w:p>
    <w:p>
      <w:pPr>
        <w:pStyle w:val="FirstParagraph"/>
      </w:pPr>
      <w:r>
        <w:t xml:space="preserve">Quantitative data from the experiments will be analyzed using statistical software (e.g., R or Stata). Descriptive statistics will summarize participant behavior, while regression analysis will be used to identify correlations between demographic variables and economic decisions. Qualitative data from interviews will be coded thematically to provide context and depth to the quantitative findings.</w:t>
      </w:r>
    </w:p>
    <w:bookmarkEnd w:id="31"/>
    <w:bookmarkStart w:id="32" w:name="expected-outcomes-and-impact"/>
    <w:p>
      <w:pPr>
        <w:pStyle w:val="Heading2"/>
      </w:pPr>
      <w:r>
        <w:t xml:space="preserve">7. Expected Outcomes and Impact</w:t>
      </w:r>
    </w:p>
    <w:p>
      <w:pPr>
        <w:pStyle w:val="FirstParagraph"/>
      </w:pPr>
      <w:r>
        <w:t xml:space="preserve">This Experiment Protocol aims to produce robust evidence on economic behavior in Myanmar Yangon. The findings will contribute to the broader literature on behavioral economics in developing economies and provide actionable insights for policymakers, financial institutions, and NGOs operating in Myanmar. By understanding the local economic mindset, stakeholders can design more effective interventions to promote financial stability and economic growth.</w:t>
      </w:r>
    </w:p>
    <w:bookmarkEnd w:id="32"/>
    <w:p>
      <w:pPr>
        <w:pStyle w:val="BodyText"/>
      </w:pPr>
      <w:r>
        <w:t xml:space="preserve">© 2023 Economic Research Initiative. All rights reserved. This document is for academic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Myanmar Yangon</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