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Kathmandu</w:t>
      </w:r>
    </w:p>
    <w:bookmarkStart w:id="31" w:name="X4e5f33275411133ae57c03eec7012b12873be10"/>
    <w:p>
      <w:pPr>
        <w:pStyle w:val="Heading1"/>
      </w:pPr>
      <w:r>
        <w:t xml:space="preserve">Experiment Protocol: Behavioral Economics in Urban Nepal</w:t>
      </w:r>
    </w:p>
    <w:p>
      <w:pPr>
        <w:pStyle w:val="FirstParagraph"/>
      </w:pPr>
      <w:r>
        <w:rPr>
          <w:bCs/>
          <w:b/>
        </w:rPr>
        <w:t xml:space="preserve">Protocol ID:</w:t>
      </w:r>
      <w:r>
        <w:t xml:space="preserve"> </w:t>
      </w:r>
      <w:r>
        <w:t xml:space="preserve">NEP-KTM-ECON-2024-001</w:t>
      </w:r>
    </w:p>
    <w:p>
      <w:pPr>
        <w:pStyle w:val="BodyText"/>
      </w:pPr>
      <w:r>
        <w:rPr>
          <w:bCs/>
          <w:b/>
        </w:rPr>
        <w:t xml:space="preserve">Location:</w:t>
      </w:r>
      <w:r>
        <w:t xml:space="preserve"> </w:t>
      </w:r>
      <w:r>
        <w:t xml:space="preserve">Kathmandu, Nepal (Specifically: Thamel, Lazimpat, and Patan Districts)</w:t>
      </w:r>
    </w:p>
    <w:p>
      <w:pPr>
        <w:pStyle w:val="BodyText"/>
      </w:pPr>
      <w:r>
        <w:rPr>
          <w:bCs/>
          <w:b/>
        </w:rPr>
        <w:t xml:space="preserve">Discipline:</w:t>
      </w:r>
      <w:r>
        <w:t xml:space="preserve"> </w:t>
      </w:r>
      <w:r>
        <w:t xml:space="preserve">Experimental Economics / Development Economics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rationale"/>
    <w:p>
      <w:pPr>
        <w:pStyle w:val="Heading2"/>
      </w:pPr>
      <w:r>
        <w:t xml:space="preserve">1. Introduction and Rationale</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economic decision-making processes among residents of</w:t>
      </w:r>
      <w:r>
        <w:t xml:space="preserve"> </w:t>
      </w:r>
      <w:r>
        <w:rPr>
          <w:bCs/>
          <w:b/>
        </w:rPr>
        <w:t xml:space="preserve">Nepal Kathmandu</w:t>
      </w:r>
      <w:r>
        <w:t xml:space="preserve">. While traditional economic theory often assumes rational actors maximizing utility, behavioral economics suggests that cognitive biases, social norms, and cultural contexts significantly influence financial choices.</w:t>
      </w:r>
    </w:p>
    <w:p>
      <w:pPr>
        <w:pStyle w:val="BodyText"/>
      </w:pPr>
      <w:r>
        <w:t xml:space="preserve">The role of the</w:t>
      </w:r>
      <w:r>
        <w:t xml:space="preserve"> </w:t>
      </w:r>
      <w:r>
        <w:rPr>
          <w:bCs/>
          <w:b/>
        </w:rPr>
        <w:t xml:space="preserve">Economist</w:t>
      </w:r>
      <w:r>
        <w:t xml:space="preserve"> </w:t>
      </w:r>
      <w:r>
        <w:t xml:space="preserve">in this study is not merely observational but experimental. By introducing controlled variables within the unique socio-economic landscape of Kathmandu, we aim to understand how factors such as informal lending networks, remittance dependency, and rapid urbanization affect risk tolerance and cooperation. This protocol ensures that the</w:t>
      </w:r>
      <w:r>
        <w:t xml:space="preserve"> </w:t>
      </w:r>
      <w:r>
        <w:rPr>
          <w:bCs/>
          <w:b/>
        </w:rPr>
        <w:t xml:space="preserve">Economist</w:t>
      </w:r>
      <w:r>
        <w:t xml:space="preserve"> </w:t>
      </w:r>
      <w:r>
        <w:t xml:space="preserve">adheres to rigorous scientific standards while respecting the local cultural nuances of Nepal.</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impact of social trust on micro-investment decisions in</w:t>
      </w:r>
      <w:r>
        <w:t xml:space="preserve"> </w:t>
      </w:r>
      <w:r>
        <w:rPr>
          <w:bCs/>
          <w:b/>
        </w:rPr>
        <w:t xml:space="preserve">Nepal Kathmandu</w:t>
      </w:r>
      <w:r>
        <w:t xml:space="preserve">. Specifically, the</w:t>
      </w:r>
      <w:r>
        <w:t xml:space="preserve"> </w:t>
      </w:r>
      <w:r>
        <w:rPr>
          <w:bCs/>
          <w:b/>
        </w:rPr>
        <w:t xml:space="preserve">Economist</w:t>
      </w:r>
      <w:r>
        <w:t xml:space="preserve"> </w:t>
      </w:r>
      <w:r>
        <w:t xml:space="preserve">seeks to answer the following research questions:</w:t>
      </w:r>
    </w:p>
    <w:p>
      <w:pPr>
        <w:numPr>
          <w:ilvl w:val="0"/>
          <w:numId w:val="1001"/>
        </w:numPr>
        <w:pStyle w:val="Compact"/>
      </w:pPr>
      <w:r>
        <w:t xml:space="preserve">How does the presence of community-based savings groups (e.g., "Dhikuri" or "Chautari") influence individual risk-taking behavior compared to formal banking institutions?</w:t>
      </w:r>
    </w:p>
    <w:p>
      <w:pPr>
        <w:numPr>
          <w:ilvl w:val="0"/>
          <w:numId w:val="1001"/>
        </w:numPr>
        <w:pStyle w:val="Compact"/>
      </w:pPr>
      <w:r>
        <w:t xml:space="preserve">Does the frequency of receiving international remittances alter the discount rates applied to future economic rewards among Kathmandu households?</w:t>
      </w:r>
    </w:p>
    <w:p>
      <w:pPr>
        <w:numPr>
          <w:ilvl w:val="0"/>
          <w:numId w:val="1001"/>
        </w:numPr>
        <w:pStyle w:val="Compact"/>
      </w:pPr>
      <w:r>
        <w:t xml:space="preserve">How do gender dynamics in Kathmandu's urban labor market affect bargaining power in experimental market simulations?</w:t>
      </w:r>
    </w:p>
    <w:bookmarkEnd w:id="21"/>
    <w:bookmarkStart w:id="25" w:name="methodology-and-experimental-design"/>
    <w:p>
      <w:pPr>
        <w:pStyle w:val="Heading2"/>
      </w:pPr>
      <w:r>
        <w:t xml:space="preserve">3. Methodology and Experimental Design</w:t>
      </w:r>
    </w:p>
    <w:p>
      <w:pPr>
        <w:pStyle w:val="FirstParagraph"/>
      </w:pPr>
      <w:r>
        <w:t xml:space="preserve">This</w:t>
      </w:r>
      <w:r>
        <w:t xml:space="preserve"> </w:t>
      </w:r>
      <w:r>
        <w:rPr>
          <w:bCs/>
          <w:b/>
        </w:rPr>
        <w:t xml:space="preserve">Experiment Protocol</w:t>
      </w:r>
      <w:r>
        <w:t xml:space="preserve"> </w:t>
      </w:r>
      <w:r>
        <w:t xml:space="preserve">utilizes a mixed-methods approach, combining field experiments with structured surveys. The</w:t>
      </w:r>
      <w:r>
        <w:t xml:space="preserve"> </w:t>
      </w:r>
      <w:r>
        <w:rPr>
          <w:bCs/>
          <w:b/>
        </w:rPr>
        <w:t xml:space="preserve">Economist</w:t>
      </w:r>
      <w:r>
        <w:t xml:space="preserve"> </w:t>
      </w:r>
      <w:r>
        <w:t xml:space="preserve">will deploy three distinct experimental games adapted for the Nepali context.</w:t>
      </w:r>
    </w:p>
    <w:bookmarkStart w:id="22" w:name="X4e431542e8c58d0a0394f6471815d3811d8560e"/>
    <w:p>
      <w:pPr>
        <w:pStyle w:val="Heading3"/>
      </w:pPr>
      <w:r>
        <w:t xml:space="preserve">3.1. The Trust Game (Modified for Kathmandu Context)</w:t>
      </w:r>
    </w:p>
    <w:p>
      <w:pPr>
        <w:pStyle w:val="FirstParagraph"/>
      </w:pPr>
      <w:r>
        <w:t xml:space="preserve">Participants will engage in a modified Trust Game. Unlike standard laboratory settings, this experiment will be conducted in public spaces in</w:t>
      </w:r>
      <w:r>
        <w:t xml:space="preserve"> </w:t>
      </w:r>
      <w:r>
        <w:rPr>
          <w:bCs/>
          <w:b/>
        </w:rPr>
        <w:t xml:space="preserve">Nepal Kathmandu</w:t>
      </w:r>
      <w:r>
        <w:t xml:space="preserve">, such as community centers in Patan or tea shops in Thamel, to capture naturalistic behavior.</w:t>
      </w:r>
    </w:p>
    <w:p>
      <w:pPr>
        <w:pStyle w:val="BodyText"/>
      </w:pPr>
      <w:r>
        <w:rPr>
          <w:bCs/>
          <w:b/>
        </w:rPr>
        <w:t xml:space="preserve">Procedure:</w:t>
      </w:r>
    </w:p>
    <w:p>
      <w:pPr>
        <w:numPr>
          <w:ilvl w:val="0"/>
          <w:numId w:val="1002"/>
        </w:numPr>
        <w:pStyle w:val="Compact"/>
      </w:pPr>
      <w:r>
        <w:t xml:space="preserve">Participant A (The Investor) is given an endowment of NPR 1,000.</w:t>
      </w:r>
    </w:p>
    <w:p>
      <w:pPr>
        <w:numPr>
          <w:ilvl w:val="0"/>
          <w:numId w:val="1002"/>
        </w:numPr>
        <w:pStyle w:val="Compact"/>
      </w:pPr>
      <w:r>
        <w:t xml:space="preserve">Participant A decides how much to send to Participant B (The Trustee).</w:t>
      </w:r>
    </w:p>
    <w:p>
      <w:pPr>
        <w:numPr>
          <w:ilvl w:val="0"/>
          <w:numId w:val="1002"/>
        </w:numPr>
        <w:pStyle w:val="Compact"/>
      </w:pPr>
      <w:r>
        <w:t xml:space="preserve">The amount sent is tripled by the</w:t>
      </w:r>
      <w:r>
        <w:t xml:space="preserve"> </w:t>
      </w:r>
      <w:r>
        <w:rPr>
          <w:bCs/>
          <w:b/>
        </w:rPr>
        <w:t xml:space="preserve">Economist</w:t>
      </w:r>
      <w:r>
        <w:t xml:space="preserve">.</w:t>
      </w:r>
    </w:p>
    <w:p>
      <w:pPr>
        <w:numPr>
          <w:ilvl w:val="0"/>
          <w:numId w:val="1002"/>
        </w:numPr>
        <w:pStyle w:val="Compact"/>
      </w:pPr>
      <w:r>
        <w:t xml:space="preserve">Participant B decides how much of the tripled amount to return to Participant A.</w:t>
      </w:r>
    </w:p>
    <w:p>
      <w:pPr>
        <w:pStyle w:val="FirstParagraph"/>
      </w:pPr>
      <w:r>
        <w:t xml:space="preserve">This setup allows the</w:t>
      </w:r>
      <w:r>
        <w:t xml:space="preserve"> </w:t>
      </w:r>
      <w:r>
        <w:rPr>
          <w:bCs/>
          <w:b/>
        </w:rPr>
        <w:t xml:space="preserve">Economist</w:t>
      </w:r>
      <w:r>
        <w:t xml:space="preserve"> </w:t>
      </w:r>
      <w:r>
        <w:t xml:space="preserve">to measure trust levels and reciprocity norms prevalent in Kathmandu's diverse ethnic communities.</w:t>
      </w:r>
    </w:p>
    <w:bookmarkEnd w:id="22"/>
    <w:bookmarkStart w:id="23" w:name="intertemporal-choice-task"/>
    <w:p>
      <w:pPr>
        <w:pStyle w:val="Heading3"/>
      </w:pPr>
      <w:r>
        <w:t xml:space="preserve">3.2. Intertemporal Choice Task</w:t>
      </w:r>
    </w:p>
    <w:p>
      <w:pPr>
        <w:pStyle w:val="FirstParagraph"/>
      </w:pPr>
      <w:r>
        <w:t xml:space="preserve">To assess patience and future orientation, the</w:t>
      </w:r>
      <w:r>
        <w:t xml:space="preserve"> </w:t>
      </w:r>
      <w:r>
        <w:rPr>
          <w:bCs/>
          <w:b/>
        </w:rPr>
        <w:t xml:space="preserve">Economist</w:t>
      </w:r>
      <w:r>
        <w:t xml:space="preserve"> </w:t>
      </w:r>
      <w:r>
        <w:t xml:space="preserve">will administer a series of binary choice questions. Participants will choose between a smaller, immediate reward (e.g., NPR 500 today) and a larger, delayed reward (e.g., NPR 700 in one month). This is crucial for understanding consumption patterns in</w:t>
      </w:r>
      <w:r>
        <w:t xml:space="preserve"> </w:t>
      </w:r>
      <w:r>
        <w:rPr>
          <w:bCs/>
          <w:b/>
        </w:rPr>
        <w:t xml:space="preserve">Nepal Kathmandu</w:t>
      </w:r>
      <w:r>
        <w:t xml:space="preserve">, where inflation and liquidity constraints are significant factors.</w:t>
      </w:r>
    </w:p>
    <w:bookmarkEnd w:id="23"/>
    <w:bookmarkStart w:id="24" w:name="public-goods-game"/>
    <w:p>
      <w:pPr>
        <w:pStyle w:val="Heading3"/>
      </w:pPr>
      <w:r>
        <w:t xml:space="preserve">3.3. Public Goods Game</w:t>
      </w:r>
    </w:p>
    <w:p>
      <w:pPr>
        <w:pStyle w:val="FirstParagraph"/>
      </w:pPr>
      <w:r>
        <w:t xml:space="preserve">This game evaluates cooperation. Groups of four participants will contribute to a common pool. The total pool is multiplied and distributed equally, regardless of individual contribution. This simulates community resource management, a critical issue in Kathmandu regarding water supply and waste management.</w:t>
      </w:r>
    </w:p>
    <w:bookmarkEnd w:id="24"/>
    <w:bookmarkEnd w:id="25"/>
    <w:bookmarkStart w:id="26" w:name="participant-recruitment-and-sampling"/>
    <w:p>
      <w:pPr>
        <w:pStyle w:val="Heading2"/>
      </w:pPr>
      <w:r>
        <w:t xml:space="preserve">4. Participant Recruitment and Sampling</w:t>
      </w:r>
    </w:p>
    <w:p>
      <w:pPr>
        <w:pStyle w:val="FirstParagraph"/>
      </w:pPr>
      <w:r>
        <w:t xml:space="preserve">The</w:t>
      </w:r>
      <w:r>
        <w:t xml:space="preserve"> </w:t>
      </w:r>
      <w:r>
        <w:rPr>
          <w:bCs/>
          <w:b/>
        </w:rPr>
        <w:t xml:space="preserve">Experiment Protocol</w:t>
      </w:r>
      <w:r>
        <w:t xml:space="preserve"> </w:t>
      </w:r>
      <w:r>
        <w:t xml:space="preserve">mandates a stratified random sampling method to ensure representation across the socio-economic spectrum of</w:t>
      </w:r>
      <w:r>
        <w:t xml:space="preserve"> </w:t>
      </w:r>
      <w:r>
        <w:rPr>
          <w:bCs/>
          <w:b/>
        </w:rPr>
        <w:t xml:space="preserve">Nepal Kathmandu</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Demographic Group</w:t>
            </w:r>
          </w:p>
        </w:tc>
        <w:tc>
          <w:tcPr/>
          <w:p>
            <w:pPr>
              <w:pStyle w:val="Compact"/>
              <w:jc w:val="left"/>
            </w:pPr>
            <w:r>
              <w:t xml:space="preserve">Target Sample Size</w:t>
            </w:r>
          </w:p>
        </w:tc>
        <w:tc>
          <w:tcPr/>
          <w:p>
            <w:pPr>
              <w:pStyle w:val="Compact"/>
              <w:jc w:val="left"/>
            </w:pPr>
            <w:r>
              <w:t xml:space="preserve">Recruitment Location</w:t>
            </w:r>
          </w:p>
        </w:tc>
      </w:tr>
      <w:tr>
        <w:tc>
          <w:tcPr/>
          <w:p>
            <w:pPr>
              <w:pStyle w:val="Compact"/>
              <w:jc w:val="left"/>
            </w:pPr>
            <w:r>
              <w:t xml:space="preserve">Informal Sector Workers</w:t>
            </w:r>
          </w:p>
        </w:tc>
        <w:tc>
          <w:tcPr/>
          <w:p>
            <w:pPr>
              <w:pStyle w:val="Compact"/>
              <w:jc w:val="left"/>
            </w:pPr>
            <w:r>
              <w:t xml:space="preserve">150</w:t>
            </w:r>
          </w:p>
        </w:tc>
        <w:tc>
          <w:tcPr/>
          <w:p>
            <w:pPr>
              <w:pStyle w:val="Compact"/>
              <w:jc w:val="left"/>
            </w:pPr>
            <w:r>
              <w:t xml:space="preserve">New Road, Teku Market</w:t>
            </w:r>
          </w:p>
        </w:tc>
      </w:tr>
      <w:tr>
        <w:tc>
          <w:tcPr/>
          <w:p>
            <w:pPr>
              <w:pStyle w:val="Compact"/>
              <w:jc w:val="left"/>
            </w:pPr>
            <w:r>
              <w:t xml:space="preserve">White-Collar Employees</w:t>
            </w:r>
          </w:p>
        </w:tc>
        <w:tc>
          <w:tcPr/>
          <w:p>
            <w:pPr>
              <w:pStyle w:val="Compact"/>
              <w:jc w:val="left"/>
            </w:pPr>
            <w:r>
              <w:t xml:space="preserve">100</w:t>
            </w:r>
          </w:p>
        </w:tc>
        <w:tc>
          <w:tcPr/>
          <w:p>
            <w:pPr>
              <w:pStyle w:val="Compact"/>
              <w:jc w:val="left"/>
            </w:pPr>
            <w:r>
              <w:t xml:space="preserve">Lazimpat, Durbar Marg</w:t>
            </w:r>
          </w:p>
        </w:tc>
      </w:tr>
      <w:tr>
        <w:tc>
          <w:tcPr/>
          <w:p>
            <w:pPr>
              <w:pStyle w:val="Compact"/>
              <w:jc w:val="left"/>
            </w:pPr>
            <w:r>
              <w:t xml:space="preserve">University Students</w:t>
            </w:r>
          </w:p>
        </w:tc>
        <w:tc>
          <w:tcPr/>
          <w:p>
            <w:pPr>
              <w:pStyle w:val="Compact"/>
              <w:jc w:val="left"/>
            </w:pPr>
            <w:r>
              <w:t xml:space="preserve">100</w:t>
            </w:r>
          </w:p>
        </w:tc>
        <w:tc>
          <w:tcPr/>
          <w:p>
            <w:pPr>
              <w:pStyle w:val="Compact"/>
              <w:jc w:val="left"/>
            </w:pPr>
            <w:r>
              <w:t xml:space="preserve">Tribhuvan University Campus</w:t>
            </w:r>
          </w:p>
        </w:tc>
      </w:tr>
      <w:tr>
        <w:tc>
          <w:tcPr/>
          <w:p>
            <w:pPr>
              <w:pStyle w:val="Compact"/>
              <w:jc w:val="left"/>
            </w:pPr>
            <w:r>
              <w:t xml:space="preserve">Remittance-Dependent Households</w:t>
            </w:r>
          </w:p>
        </w:tc>
        <w:tc>
          <w:tcPr/>
          <w:p>
            <w:pPr>
              <w:pStyle w:val="Compact"/>
              <w:jc w:val="left"/>
            </w:pPr>
            <w:r>
              <w:t xml:space="preserve">150</w:t>
            </w:r>
          </w:p>
        </w:tc>
        <w:tc>
          <w:tcPr/>
          <w:p>
            <w:pPr>
              <w:pStyle w:val="Compact"/>
              <w:jc w:val="left"/>
            </w:pPr>
            <w:r>
              <w:t xml:space="preserve">Peripheral wards of Kathmandu Metropolitan City</w:t>
            </w:r>
          </w:p>
        </w:tc>
      </w:tr>
    </w:tbl>
    <w:p>
      <w:pPr>
        <w:pStyle w:val="BodyText"/>
      </w:pPr>
      <w:r>
        <w:t xml:space="preserve">The</w:t>
      </w:r>
      <w:r>
        <w:t xml:space="preserve"> </w:t>
      </w:r>
      <w:r>
        <w:rPr>
          <w:bCs/>
          <w:b/>
        </w:rPr>
        <w:t xml:space="preserve">Economist</w:t>
      </w:r>
      <w:r>
        <w:t xml:space="preserve"> </w:t>
      </w:r>
      <w:r>
        <w:t xml:space="preserve">must ensure that participants are fluent in Nepali to avoid misinterpretation of instructions. Informed consent forms will be provided in both Nepali and English.</w:t>
      </w:r>
    </w:p>
    <w:bookmarkEnd w:id="26"/>
    <w:bookmarkStart w:id="27" w:name="ethical-considerations"/>
    <w:p>
      <w:pPr>
        <w:pStyle w:val="Heading2"/>
      </w:pPr>
      <w:r>
        <w:t xml:space="preserve">5. Ethical Considerations</w:t>
      </w:r>
    </w:p>
    <w:p>
      <w:pPr>
        <w:pStyle w:val="FirstParagraph"/>
      </w:pPr>
      <w:r>
        <w:t xml:space="preserve">Adherence to ethical standards is paramount in this</w:t>
      </w:r>
      <w:r>
        <w:t xml:space="preserve"> </w:t>
      </w:r>
      <w:r>
        <w:rPr>
          <w:bCs/>
          <w:b/>
        </w:rPr>
        <w:t xml:space="preserve">Experiment Protocol</w:t>
      </w:r>
      <w:r>
        <w:t xml:space="preserve">. The</w:t>
      </w:r>
      <w:r>
        <w:t xml:space="preserve"> </w:t>
      </w:r>
      <w:r>
        <w:rPr>
          <w:bCs/>
          <w:b/>
        </w:rPr>
        <w:t xml:space="preserve">Economist</w:t>
      </w:r>
      <w:r>
        <w:t xml:space="preserve"> </w:t>
      </w:r>
      <w:r>
        <w:t xml:space="preserve">must obtain approval from the Institutional Review Board (IRB) prior to data collection in</w:t>
      </w:r>
      <w:r>
        <w:t xml:space="preserve"> </w:t>
      </w:r>
      <w:r>
        <w:rPr>
          <w:bCs/>
          <w:b/>
        </w:rPr>
        <w:t xml:space="preserve">Nepal Kathmandu</w:t>
      </w:r>
      <w:r>
        <w:t xml:space="preserve">.</w:t>
      </w:r>
    </w:p>
    <w:p>
      <w:pPr>
        <w:numPr>
          <w:ilvl w:val="0"/>
          <w:numId w:val="1003"/>
        </w:numPr>
        <w:pStyle w:val="Compact"/>
      </w:pPr>
      <w:r>
        <w:rPr>
          <w:bCs/>
          <w:b/>
        </w:rPr>
        <w:t xml:space="preserve">Informed Consent:</w:t>
      </w:r>
      <w:r>
        <w:t xml:space="preserve"> </w:t>
      </w:r>
      <w:r>
        <w:t xml:space="preserve">Participants must fully understand that their participation is voluntary and that they can withdraw at any time without penalty.</w:t>
      </w:r>
    </w:p>
    <w:p>
      <w:pPr>
        <w:numPr>
          <w:ilvl w:val="0"/>
          <w:numId w:val="1003"/>
        </w:numPr>
        <w:pStyle w:val="Compact"/>
      </w:pPr>
      <w:r>
        <w:rPr>
          <w:bCs/>
          <w:b/>
        </w:rPr>
        <w:t xml:space="preserve">Financial Fairness:</w:t>
      </w:r>
      <w:r>
        <w:t xml:space="preserve"> </w:t>
      </w:r>
      <w:r>
        <w:t xml:space="preserve">Show-up fees and experimental earnings must be competitive with local wage standards in Kathmandu to avoid exploitation.</w:t>
      </w:r>
    </w:p>
    <w:p>
      <w:pPr>
        <w:numPr>
          <w:ilvl w:val="0"/>
          <w:numId w:val="1003"/>
        </w:numPr>
        <w:pStyle w:val="Compact"/>
      </w:pPr>
      <w:r>
        <w:rPr>
          <w:bCs/>
          <w:b/>
        </w:rPr>
        <w:t xml:space="preserve">Privacy:</w:t>
      </w:r>
      <w:r>
        <w:t xml:space="preserve"> </w:t>
      </w:r>
      <w:r>
        <w:t xml:space="preserve">All data collected will be anonymized. Given the close-knit nature of communities in Nepal, extra care must be taken to ensure that individual responses cannot be traced back to specific households.</w:t>
      </w:r>
    </w:p>
    <w:bookmarkEnd w:id="27"/>
    <w:bookmarkStart w:id="28" w:name="data-analysis-plan"/>
    <w:p>
      <w:pPr>
        <w:pStyle w:val="Heading2"/>
      </w:pPr>
      <w:r>
        <w:t xml:space="preserve">6. Data Analysis Plan</w:t>
      </w:r>
    </w:p>
    <w:p>
      <w:pPr>
        <w:pStyle w:val="FirstParagraph"/>
      </w:pPr>
      <w:r>
        <w:t xml:space="preserve">The</w:t>
      </w:r>
      <w:r>
        <w:t xml:space="preserve"> </w:t>
      </w:r>
      <w:r>
        <w:rPr>
          <w:bCs/>
          <w:b/>
        </w:rPr>
        <w:t xml:space="preserve">Economist</w:t>
      </w:r>
      <w:r>
        <w:t xml:space="preserve"> </w:t>
      </w:r>
      <w:r>
        <w:t xml:space="preserve">will utilize econometric modeling to analyze the data. Regression analysis will be employed to control for variables such as age, education level, income, and ethnicity. The goal is to isolate the causal effects of social norms on economic behavior within the specific context of</w:t>
      </w:r>
      <w:r>
        <w:t xml:space="preserve"> </w:t>
      </w:r>
      <w:r>
        <w:rPr>
          <w:bCs/>
          <w:b/>
        </w:rPr>
        <w:t xml:space="preserve">Nepal Kathmandu</w:t>
      </w:r>
      <w:r>
        <w:t xml:space="preserve">.</w:t>
      </w:r>
    </w:p>
    <w:p>
      <w:pPr>
        <w:pStyle w:val="BodyText"/>
      </w:pPr>
      <w:r>
        <w:t xml:space="preserve">Special attention will be paid to heterogeneity in treatment effects. For instance, the</w:t>
      </w:r>
      <w:r>
        <w:t xml:space="preserve"> </w:t>
      </w:r>
      <w:r>
        <w:rPr>
          <w:bCs/>
          <w:b/>
        </w:rPr>
        <w:t xml:space="preserve">Economist</w:t>
      </w:r>
      <w:r>
        <w:t xml:space="preserve"> </w:t>
      </w:r>
      <w:r>
        <w:t xml:space="preserve">will test whether the impact of trust on investment differs significantly between Newar communities in Patan and migrant populations in Thamel.</w:t>
      </w:r>
    </w:p>
    <w:bookmarkEnd w:id="28"/>
    <w:bookmarkStart w:id="29" w:name="timeline-and-logistics"/>
    <w:p>
      <w:pPr>
        <w:pStyle w:val="Heading2"/>
      </w:pPr>
      <w:r>
        <w:t xml:space="preserve">7. Timeline and Logistics</w:t>
      </w:r>
    </w:p>
    <w:p>
      <w:pPr>
        <w:pStyle w:val="FirstParagraph"/>
      </w:pPr>
      <w:r>
        <w:t xml:space="preserve">The execution of this</w:t>
      </w:r>
      <w:r>
        <w:t xml:space="preserve"> </w:t>
      </w:r>
      <w:r>
        <w:rPr>
          <w:bCs/>
          <w:b/>
        </w:rPr>
        <w:t xml:space="preserve">Experiment Protocol</w:t>
      </w:r>
      <w:r>
        <w:t xml:space="preserve"> </w:t>
      </w:r>
      <w:r>
        <w:t xml:space="preserve">is scheduled over a period of six months.</w:t>
      </w:r>
    </w:p>
    <w:p>
      <w:pPr>
        <w:numPr>
          <w:ilvl w:val="0"/>
          <w:numId w:val="1004"/>
        </w:numPr>
        <w:pStyle w:val="Compact"/>
      </w:pPr>
      <w:r>
        <w:rPr>
          <w:bCs/>
          <w:b/>
        </w:rPr>
        <w:t xml:space="preserve">Months 1-2:</w:t>
      </w:r>
      <w:r>
        <w:t xml:space="preserve"> </w:t>
      </w:r>
      <w:r>
        <w:t xml:space="preserve">Translation of materials, IRB approval, and recruitment of local research assistants in Kathmandu.</w:t>
      </w:r>
    </w:p>
    <w:p>
      <w:pPr>
        <w:numPr>
          <w:ilvl w:val="0"/>
          <w:numId w:val="1004"/>
        </w:numPr>
        <w:pStyle w:val="Compact"/>
      </w:pPr>
      <w:r>
        <w:rPr>
          <w:bCs/>
          <w:b/>
        </w:rPr>
        <w:t xml:space="preserve">Months 3-5:</w:t>
      </w:r>
      <w:r>
        <w:t xml:space="preserve"> </w:t>
      </w:r>
      <w:r>
        <w:t xml:space="preserve">Field data collection across designated districts.</w:t>
      </w:r>
    </w:p>
    <w:p>
      <w:pPr>
        <w:numPr>
          <w:ilvl w:val="0"/>
          <w:numId w:val="1004"/>
        </w:numPr>
        <w:pStyle w:val="Compact"/>
      </w:pPr>
      <w:r>
        <w:rPr>
          <w:bCs/>
          <w:b/>
        </w:rPr>
        <w:t xml:space="preserve">Month 6:</w:t>
      </w:r>
      <w:r>
        <w:t xml:space="preserve"> </w:t>
      </w:r>
      <w:r>
        <w:t xml:space="preserve">Data cleaning, analysis, and drafting of the final report by the</w:t>
      </w:r>
      <w:r>
        <w:t xml:space="preserve"> </w:t>
      </w:r>
      <w:r>
        <w:rPr>
          <w:bCs/>
          <w:b/>
        </w:rPr>
        <w:t xml:space="preserve">Economist</w:t>
      </w:r>
      <w:r>
        <w:t xml:space="preserv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robust framework for exploring the intersection of culture and economics. By grounding the research in the reality of</w:t>
      </w:r>
      <w:r>
        <w:t xml:space="preserve"> </w:t>
      </w:r>
      <w:r>
        <w:rPr>
          <w:bCs/>
          <w:b/>
        </w:rPr>
        <w:t xml:space="preserve">Nepal Kathmandu</w:t>
      </w:r>
      <w:r>
        <w:t xml:space="preserve">, the</w:t>
      </w:r>
      <w:r>
        <w:t xml:space="preserve"> </w:t>
      </w:r>
      <w:r>
        <w:rPr>
          <w:bCs/>
          <w:b/>
        </w:rPr>
        <w:t xml:space="preserve">Economist</w:t>
      </w:r>
      <w:r>
        <w:t xml:space="preserve"> </w:t>
      </w:r>
      <w:r>
        <w:t xml:space="preserve">can generate insights that are not only theoretically sound but also practically relevant for policymakers aiming to foster economic development and financial inclusion in Nepal.</w:t>
      </w:r>
    </w:p>
    <w:p>
      <w:pPr>
        <w:pStyle w:val="BodyText"/>
      </w:pPr>
      <w:r>
        <w:t xml:space="preserve">© 2023 Economic Research Initiative. All rights reserved.</w:t>
      </w:r>
      <w:r>
        <w:br/>
      </w:r>
      <w:r>
        <w:t xml:space="preserve">This document is confidential and intended for authorized researchers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Kathmandu</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