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Behavioral</w:t>
      </w:r>
      <w:r>
        <w:t xml:space="preserve"> </w:t>
      </w:r>
      <w:r>
        <w:t xml:space="preserve">Economics</w:t>
      </w:r>
      <w:r>
        <w:t xml:space="preserve"> </w:t>
      </w:r>
      <w:r>
        <w:t xml:space="preserve">in</w:t>
      </w:r>
      <w:r>
        <w:t xml:space="preserve"> </w:t>
      </w:r>
      <w:r>
        <w:t xml:space="preserve">Auckland</w:t>
      </w:r>
    </w:p>
    <w:bookmarkStart w:id="20" w:name="X11183936367e822e8687e97680c3b3c75a09a34"/>
    <w:p>
      <w:pPr>
        <w:pStyle w:val="Heading1"/>
      </w:pPr>
      <w:r>
        <w:t xml:space="preserve">Experiment Protocol: Behavioral Responses to Housing Policy Interventions</w:t>
      </w:r>
    </w:p>
    <w:p>
      <w:pPr>
        <w:pStyle w:val="FirstParagraph"/>
      </w:pPr>
      <w:r>
        <w:rPr>
          <w:bCs/>
          <w:b/>
        </w:rPr>
        <w:t xml:space="preserve">Location:</w:t>
      </w:r>
      <w:r>
        <w:t xml:space="preserve"> </w:t>
      </w:r>
      <w:r>
        <w:t xml:space="preserve">New Zealand Auckland</w:t>
      </w:r>
    </w:p>
    <w:p>
      <w:pPr>
        <w:pStyle w:val="BodyText"/>
      </w:pPr>
      <w:r>
        <w:rPr>
          <w:bCs/>
          <w:b/>
        </w:rPr>
        <w:t xml:space="preserve">Principal Investigator:</w:t>
      </w:r>
      <w:r>
        <w:t xml:space="preserve"> </w:t>
      </w:r>
      <w:r>
        <w:t xml:space="preserve">Lead Economist, Department of Economic Research</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 controlled behavioral study designed to assess the impact of housing policy communication on household financial decision-making. The study is situated in New Zealand Auckland, a region characterized by rapid urbanization, high housing demand, and significant economic diversity. As an Economist, the primary objective is to understand how residents of Auckland process information regarding rent controls, zoning laws, and interest rate fluctuations.</w:t>
      </w:r>
    </w:p>
    <w:p>
      <w:pPr>
        <w:pStyle w:val="BodyText"/>
      </w:pPr>
      <w:r>
        <w:t xml:space="preserve">The unique economic landscape of Auckland, often referred to as the economic engine of New Zealand, presents a critical testing ground for policy interventions. This protocol ensures that the research adheres to rigorous scientific standards while respecting the cultural and social nuances of the local population.</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elasticity of housing demand among Auckland residents when presented with varying policy scenarios.</w:t>
      </w:r>
    </w:p>
    <w:p>
      <w:pPr>
        <w:numPr>
          <w:ilvl w:val="0"/>
          <w:numId w:val="1001"/>
        </w:numPr>
        <w:pStyle w:val="Compact"/>
      </w:pPr>
      <w:r>
        <w:t xml:space="preserve">To analyze the behavioral biases, such as loss aversion and status quo bias, that influence how Aucklanders respond to economic incentives.</w:t>
      </w:r>
    </w:p>
    <w:p>
      <w:pPr>
        <w:numPr>
          <w:ilvl w:val="0"/>
          <w:numId w:val="1001"/>
        </w:numPr>
        <w:pStyle w:val="Compact"/>
      </w:pPr>
      <w:r>
        <w:t xml:space="preserve">To provide empirical data to support evidence-based policy recommendations for local and national government bodies in New Zealand.</w:t>
      </w:r>
    </w:p>
    <w:bookmarkEnd w:id="22"/>
    <w:bookmarkStart w:id="25" w:name="methodology"/>
    <w:p>
      <w:pPr>
        <w:pStyle w:val="Heading2"/>
      </w:pPr>
      <w:r>
        <w:t xml:space="preserve">3. Methodology</w:t>
      </w:r>
    </w:p>
    <w:bookmarkStart w:id="23" w:name="study-design"/>
    <w:p>
      <w:pPr>
        <w:pStyle w:val="Heading3"/>
      </w:pPr>
      <w:r>
        <w:t xml:space="preserve">3.1 Study Design</w:t>
      </w:r>
    </w:p>
    <w:p>
      <w:pPr>
        <w:pStyle w:val="FirstParagraph"/>
      </w:pPr>
      <w:r>
        <w:t xml:space="preserve">The study will utilize a randomized controlled trial (RCT) design. Participants will be randomly assigned to one of three groups: a control group and two treatment groups. Each group will be presented with different hypothetical economic scenarios related to housing affordability in Auckland.</w:t>
      </w:r>
    </w:p>
    <w:bookmarkEnd w:id="23"/>
    <w:bookmarkStart w:id="24" w:name="participant-recruitment"/>
    <w:p>
      <w:pPr>
        <w:pStyle w:val="Heading3"/>
      </w:pPr>
      <w:r>
        <w:t xml:space="preserve">3.2 Participant Recruitment</w:t>
      </w:r>
    </w:p>
    <w:p>
      <w:pPr>
        <w:pStyle w:val="FirstParagraph"/>
      </w:pPr>
      <w:r>
        <w:t xml:space="preserve">Participants will be recruited from diverse suburbs across New Zealand Auckland, including areas such as Ponsonby, Mt Roskill, and Northcote, to ensure a representative sample of the city's socioeconomic spectrum. Recruitment will be conducted through online platforms, community centers, and partnerships with local universities.</w:t>
      </w:r>
    </w:p>
    <w:p>
      <w:pPr>
        <w:pStyle w:val="BodyText"/>
      </w:pPr>
      <w:r>
        <w:t xml:space="preserve">Inclusion criteria:</w:t>
      </w:r>
    </w:p>
    <w:p>
      <w:pPr>
        <w:numPr>
          <w:ilvl w:val="0"/>
          <w:numId w:val="1002"/>
        </w:numPr>
        <w:pStyle w:val="Compact"/>
      </w:pPr>
      <w:r>
        <w:t xml:space="preserve">Must be a resident of Auckland for at least 12 months.</w:t>
      </w:r>
    </w:p>
    <w:p>
      <w:pPr>
        <w:numPr>
          <w:ilvl w:val="0"/>
          <w:numId w:val="1002"/>
        </w:numPr>
        <w:pStyle w:val="Compact"/>
      </w:pPr>
      <w:r>
        <w:t xml:space="preserve">Must be 18 years of age or older.</w:t>
      </w:r>
    </w:p>
    <w:p>
      <w:pPr>
        <w:numPr>
          <w:ilvl w:val="0"/>
          <w:numId w:val="1002"/>
        </w:numPr>
        <w:pStyle w:val="Compact"/>
      </w:pPr>
      <w:r>
        <w:t xml:space="preserve">Must be currently renting or owning a property.</w:t>
      </w:r>
    </w:p>
    <w:bookmarkEnd w:id="24"/>
    <w:bookmarkEnd w:id="25"/>
    <w:bookmarkStart w:id="30" w:name="experimental-procedure"/>
    <w:p>
      <w:pPr>
        <w:pStyle w:val="Heading2"/>
      </w:pPr>
      <w:r>
        <w:t xml:space="preserve">4. Experimental Procedure</w:t>
      </w:r>
    </w:p>
    <w:bookmarkStart w:id="26" w:name="phase-1-informed-consent"/>
    <w:p>
      <w:pPr>
        <w:pStyle w:val="Heading3"/>
      </w:pPr>
      <w:r>
        <w:t xml:space="preserve">4.1 Phase 1: Informed Consent</w:t>
      </w:r>
    </w:p>
    <w:p>
      <w:pPr>
        <w:pStyle w:val="FirstParagraph"/>
      </w:pPr>
      <w:r>
        <w:t xml:space="preserve">Upon recruitment, participants will be provided with an informed consent form detailing the purpose of the study, their rights, and the voluntary nature of their participation. This process will comply with the New Zealand Code of Health and Disability Services Consumers' Rights and ethical guidelines for economic research.</w:t>
      </w:r>
    </w:p>
    <w:bookmarkEnd w:id="26"/>
    <w:bookmarkStart w:id="27" w:name="phase-2-baseline-survey"/>
    <w:p>
      <w:pPr>
        <w:pStyle w:val="Heading3"/>
      </w:pPr>
      <w:r>
        <w:t xml:space="preserve">4.2 Phase 2: Baseline Survey</w:t>
      </w:r>
    </w:p>
    <w:p>
      <w:pPr>
        <w:pStyle w:val="FirstParagraph"/>
      </w:pPr>
      <w:r>
        <w:t xml:space="preserve">Participants will complete a baseline survey to gather demographic information, current housing status, income levels, and attitudes towards housing policy. This data will serve as a control variable in the analysis.</w:t>
      </w:r>
    </w:p>
    <w:bookmarkEnd w:id="27"/>
    <w:bookmarkStart w:id="28" w:name="phase-3-treatment-administration"/>
    <w:p>
      <w:pPr>
        <w:pStyle w:val="Heading3"/>
      </w:pPr>
      <w:r>
        <w:t xml:space="preserve">4.3 Phase 3: Treatment Administration</w:t>
      </w:r>
    </w:p>
    <w:p>
      <w:pPr>
        <w:pStyle w:val="FirstParagraph"/>
      </w:pPr>
      <w:r>
        <w:t xml:space="preserve">Participants will be exposed to one of the following scenarios:</w:t>
      </w:r>
    </w:p>
    <w:p>
      <w:pPr>
        <w:numPr>
          <w:ilvl w:val="0"/>
          <w:numId w:val="1003"/>
        </w:numPr>
        <w:pStyle w:val="Compact"/>
      </w:pPr>
      <w:r>
        <w:rPr>
          <w:bCs/>
          <w:b/>
        </w:rPr>
        <w:t xml:space="preserve">Control Group:</w:t>
      </w:r>
      <w:r>
        <w:t xml:space="preserve"> </w:t>
      </w:r>
      <w:r>
        <w:t xml:space="preserve">No additional information provided.</w:t>
      </w:r>
    </w:p>
    <w:p>
      <w:pPr>
        <w:numPr>
          <w:ilvl w:val="0"/>
          <w:numId w:val="1003"/>
        </w:numPr>
        <w:pStyle w:val="Compact"/>
      </w:pPr>
      <w:r>
        <w:rPr>
          <w:bCs/>
          <w:b/>
        </w:rPr>
        <w:t xml:space="preserve">Treatment Group A:</w:t>
      </w:r>
      <w:r>
        <w:t xml:space="preserve"> </w:t>
      </w:r>
      <w:r>
        <w:t xml:space="preserve">Information on potential rent control measures.</w:t>
      </w:r>
    </w:p>
    <w:p>
      <w:pPr>
        <w:numPr>
          <w:ilvl w:val="0"/>
          <w:numId w:val="1003"/>
        </w:numPr>
        <w:pStyle w:val="Compact"/>
      </w:pPr>
      <w:r>
        <w:rPr>
          <w:bCs/>
          <w:b/>
        </w:rPr>
        <w:t xml:space="preserve">Treatment Group B:</w:t>
      </w:r>
      <w:r>
        <w:t xml:space="preserve"> </w:t>
      </w:r>
      <w:r>
        <w:t xml:space="preserve">Information on zoning law reforms aimed at increasing housing supply.</w:t>
      </w:r>
    </w:p>
    <w:p>
      <w:pPr>
        <w:pStyle w:val="FirstParagraph"/>
      </w:pPr>
      <w:r>
        <w:t xml:space="preserve">After reviewing the scenario, participants will answer a series of questions regarding their intended financial behavior, such as willingness to move, invest, or save.</w:t>
      </w:r>
    </w:p>
    <w:bookmarkEnd w:id="28"/>
    <w:bookmarkStart w:id="29" w:name="phase-4-debriefing"/>
    <w:p>
      <w:pPr>
        <w:pStyle w:val="Heading3"/>
      </w:pPr>
      <w:r>
        <w:t xml:space="preserve">4.4 Phase 4: Debriefing</w:t>
      </w:r>
    </w:p>
    <w:p>
      <w:pPr>
        <w:pStyle w:val="FirstParagraph"/>
      </w:pPr>
      <w:r>
        <w:t xml:space="preserve">At the conclusion of the experiment, participants will be debriefed about the true nature of the study and provided with resources for further information on housing policy in New Zealand Auckland.</w:t>
      </w:r>
    </w:p>
    <w:bookmarkEnd w:id="29"/>
    <w:bookmarkEnd w:id="30"/>
    <w:bookmarkStart w:id="31" w:name="data-analysis"/>
    <w:p>
      <w:pPr>
        <w:pStyle w:val="Heading2"/>
      </w:pPr>
      <w:r>
        <w:t xml:space="preserve">5. Data Analysis</w:t>
      </w:r>
    </w:p>
    <w:p>
      <w:pPr>
        <w:pStyle w:val="FirstParagraph"/>
      </w:pPr>
      <w:r>
        <w:t xml:space="preserve">Data will be analyzed using statistical software such as R or Stata. The Economist leading the study will employ regression analysis to determine the causal impact of the treatment scenarios on participants' responses. Key metrics will include changes in stated preferences, risk tolerance, and policy support levels.</w:t>
      </w:r>
    </w:p>
    <w:p>
      <w:pPr>
        <w:pStyle w:val="BodyText"/>
      </w:pPr>
      <w:r>
        <w:t xml:space="preserve">The analysis will also explore heterogeneity in responses across different demographic groups within Auckland, such as age, ethnicity, and income level.</w:t>
      </w:r>
    </w:p>
    <w:bookmarkEnd w:id="31"/>
    <w:bookmarkStart w:id="32" w:name="ethical-considerations"/>
    <w:p>
      <w:pPr>
        <w:pStyle w:val="Heading2"/>
      </w:pPr>
      <w:r>
        <w:t xml:space="preserve">6. Ethical Considerations</w:t>
      </w:r>
    </w:p>
    <w:p>
      <w:pPr>
        <w:pStyle w:val="FirstParagraph"/>
      </w:pPr>
      <w:r>
        <w:t xml:space="preserve">This study will adhere to the highest ethical standards. All data will be anonymized and stored securely in compliance with the New Zealand Privacy Act 2020. Participants will be informed that their data will be used solely for research purposes and will not be shared with third parties without their explicit consent.</w:t>
      </w:r>
    </w:p>
    <w:p>
      <w:pPr>
        <w:pStyle w:val="BodyText"/>
      </w:pPr>
      <w:r>
        <w:t xml:space="preserve">Special attention will be paid to the cultural sensitivity of the research, ensuring that the study respects the values and perspectives of Māori and Pacific communities in Auckland.</w:t>
      </w:r>
    </w:p>
    <w:bookmarkEnd w:id="32"/>
    <w:bookmarkStart w:id="33" w:name="timeline"/>
    <w:p>
      <w:pPr>
        <w:pStyle w:val="Heading2"/>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Phase</w:t>
            </w:r>
          </w:p>
        </w:tc>
        <w:tc>
          <w:tcPr/>
          <w:p>
            <w:pPr>
              <w:pStyle w:val="Compact"/>
              <w:jc w:val="left"/>
            </w:pPr>
            <w:r>
              <w:t xml:space="preserve">Duration</w:t>
            </w:r>
          </w:p>
        </w:tc>
      </w:tr>
      <w:tr>
        <w:tc>
          <w:tcPr/>
          <w:p>
            <w:pPr>
              <w:pStyle w:val="Compact"/>
              <w:jc w:val="left"/>
            </w:pPr>
            <w:r>
              <w:t xml:space="preserve">Recruitment</w:t>
            </w:r>
          </w:p>
        </w:tc>
        <w:tc>
          <w:tcPr/>
          <w:p>
            <w:pPr>
              <w:pStyle w:val="Compact"/>
              <w:jc w:val="left"/>
            </w:pPr>
            <w:r>
              <w:t xml:space="preserve">4 weeks</w:t>
            </w:r>
          </w:p>
        </w:tc>
      </w:tr>
      <w:tr>
        <w:tc>
          <w:tcPr/>
          <w:p>
            <w:pPr>
              <w:pStyle w:val="Compact"/>
              <w:jc w:val="left"/>
            </w:pPr>
            <w:r>
              <w:t xml:space="preserve">Data Collection</w:t>
            </w:r>
          </w:p>
        </w:tc>
        <w:tc>
          <w:tcPr/>
          <w:p>
            <w:pPr>
              <w:pStyle w:val="Compact"/>
              <w:jc w:val="left"/>
            </w:pPr>
            <w:r>
              <w:t xml:space="preserve">6 weeks</w:t>
            </w:r>
          </w:p>
        </w:tc>
      </w:tr>
      <w:tr>
        <w:tc>
          <w:tcPr/>
          <w:p>
            <w:pPr>
              <w:pStyle w:val="Compact"/>
              <w:jc w:val="left"/>
            </w:pPr>
            <w:r>
              <w:t xml:space="preserve">Data Analysis</w:t>
            </w:r>
          </w:p>
        </w:tc>
        <w:tc>
          <w:tcPr/>
          <w:p>
            <w:pPr>
              <w:pStyle w:val="Compact"/>
              <w:jc w:val="left"/>
            </w:pPr>
            <w:r>
              <w:t xml:space="preserve">4 weeks</w:t>
            </w:r>
          </w:p>
        </w:tc>
      </w:tr>
      <w:tr>
        <w:tc>
          <w:tcPr/>
          <w:p>
            <w:pPr>
              <w:pStyle w:val="Compact"/>
              <w:jc w:val="left"/>
            </w:pPr>
            <w:r>
              <w:t xml:space="preserve">Reporting</w:t>
            </w:r>
          </w:p>
        </w:tc>
        <w:tc>
          <w:tcPr/>
          <w:p>
            <w:pPr>
              <w:pStyle w:val="Compact"/>
              <w:jc w:val="left"/>
            </w:pPr>
            <w:r>
              <w:t xml:space="preserve">2 weeks</w:t>
            </w:r>
          </w:p>
        </w:tc>
      </w:tr>
    </w:tbl>
    <w:bookmarkEnd w:id="33"/>
    <w:bookmarkStart w:id="34" w:name="conclusion"/>
    <w:p>
      <w:pPr>
        <w:pStyle w:val="Heading2"/>
      </w:pPr>
      <w:r>
        <w:t xml:space="preserve">8. Conclusion</w:t>
      </w:r>
    </w:p>
    <w:p>
      <w:pPr>
        <w:pStyle w:val="FirstParagraph"/>
      </w:pPr>
      <w:r>
        <w:t xml:space="preserve">This Experiment Protocol provides a comprehensive framework for conducting a rigorous and ethical study on the behavioral responses of Auckland residents to housing policy interventions. By leveraging the expertise of an Economist and focusing on the unique context of New Zealand Auckland, this research aims to contribute valuable insights to the ongoing discourse on housing affordability and economic policy.</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Behavioral Economics in Auckland</dc:title>
  <dc:creator/>
  <dc:language>en</dc:language>
  <cp:keywords/>
  <dcterms:created xsi:type="dcterms:W3CDTF">2026-10-10T07:36:49Z</dcterms:created>
  <dcterms:modified xsi:type="dcterms:W3CDTF">2026-10-10T07:36:49Z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