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Pakistan</w:t>
      </w:r>
      <w:r>
        <w:t xml:space="preserve"> </w:t>
      </w:r>
      <w:r>
        <w:t xml:space="preserve">Karachi</w:t>
      </w:r>
    </w:p>
    <w:bookmarkStart w:id="35" w:name="Xa1601d031c822f9962ca6472064d0b764c251db"/>
    <w:p>
      <w:pPr>
        <w:pStyle w:val="Heading1"/>
      </w:pPr>
      <w:r>
        <w:t xml:space="preserve">Experiment Protocol: Behavioral Responses to Microfinance Incentives</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Impact of Social Norms and Financial Incentives on Savings Behavior Among Low-Income Households.</w:t>
      </w:r>
    </w:p>
    <w:p>
      <w:pPr>
        <w:pStyle w:val="BodyText"/>
      </w:pPr>
      <w:r>
        <w:rPr>
          <w:bCs/>
          <w:b/>
        </w:rPr>
        <w:t xml:space="preserve">Location:</w:t>
      </w:r>
      <w:r>
        <w:t xml:space="preserve"> </w:t>
      </w:r>
      <w:r>
        <w:t xml:space="preserve">Pakistan Karachi (Specifically targeting districts of Korangi and Gulshan-e-Iqbal).</w:t>
      </w:r>
    </w:p>
    <w:p>
      <w:pPr>
        <w:pStyle w:val="BodyText"/>
      </w:pPr>
      <w:r>
        <w:rPr>
          <w:bCs/>
          <w:b/>
        </w:rPr>
        <w:t xml:space="preserve">Principal Investigator:</w:t>
      </w:r>
      <w:r>
        <w:t xml:space="preserve"> </w:t>
      </w:r>
      <w:r>
        <w:t xml:space="preserve">Lead Economist, Development Economics Division.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rationale"/>
    <w:p>
      <w:pPr>
        <w:pStyle w:val="Heading2"/>
      </w:pPr>
      <w:r>
        <w:t xml:space="preserve">2. Introduction and Rationale</w:t>
      </w:r>
    </w:p>
    <w:p>
      <w:pPr>
        <w:pStyle w:val="FirstParagraph"/>
      </w:pPr>
      <w:r>
        <w:t xml:space="preserve">This Experiment Protocol outlines the methodology for a field study designed to test behavioral economic theories within the unique socio-economic context of Pakistan Karachi. As an Economist, the primary objective is to move beyond traditional neoclassical assumptions of rationality and examine how psychological factors, social norms, and cognitive biases influence financial decision-making among the urban poor.</w:t>
      </w:r>
    </w:p>
    <w:p>
      <w:pPr>
        <w:pStyle w:val="BodyText"/>
      </w:pPr>
      <w:r>
        <w:t xml:space="preserve">Pakistan Karachi presents a critical environment for this research. As the economic hub of Pakistan, Karachi hosts a vast informal economy where a significant portion of the population lacks access to formal banking services. Understanding the behavioral drivers of savings and credit utilization in this specific locale is essential for designing effective public policy and microfinance interventions. This protocol adapts standard experimental economics frameworks to the cultural and logistical realities of Karachi, ensuring data validity and ethical compliance.</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determine if social pressure (public commitment) increases savings rates compared to private commitment among households in Pakistan Karachi.</w:t>
      </w:r>
    </w:p>
    <w:p>
      <w:pPr>
        <w:numPr>
          <w:ilvl w:val="0"/>
          <w:numId w:val="1001"/>
        </w:numPr>
        <w:pStyle w:val="Compact"/>
      </w:pPr>
      <w:r>
        <w:t xml:space="preserve">To assess the elasticity of demand for micro-loans when interest rates are framed differently (e.g., as a fee vs. a percentage).</w:t>
      </w:r>
    </w:p>
    <w:p>
      <w:pPr>
        <w:numPr>
          <w:ilvl w:val="0"/>
          <w:numId w:val="1001"/>
        </w:numPr>
        <w:pStyle w:val="Compact"/>
      </w:pPr>
      <w:r>
        <w:t xml:space="preserve">To evaluate the impact of "nudge" interventions on financial literacy adoption in low-literacy environments.</w:t>
      </w:r>
    </w:p>
    <w:bookmarkEnd w:id="22"/>
    <w:bookmarkStart w:id="25" w:name="study-design"/>
    <w:p>
      <w:pPr>
        <w:pStyle w:val="Heading2"/>
      </w:pPr>
      <w:r>
        <w:t xml:space="preserve">4. Study Design</w:t>
      </w:r>
    </w:p>
    <w:p>
      <w:pPr>
        <w:pStyle w:val="FirstParagraph"/>
      </w:pPr>
      <w:r>
        <w:t xml:space="preserve">This study will utilize a Randomized Controlled Trial (RCT) design, the gold standard in experimental economics. The experiment will be conducted over a period of six months.</w:t>
      </w:r>
    </w:p>
    <w:bookmarkStart w:id="23" w:name="target-population"/>
    <w:p>
      <w:pPr>
        <w:pStyle w:val="Heading3"/>
      </w:pPr>
      <w:r>
        <w:t xml:space="preserve">4.1 Target Population</w:t>
      </w:r>
    </w:p>
    <w:p>
      <w:pPr>
        <w:pStyle w:val="FirstParagraph"/>
      </w:pPr>
      <w:r>
        <w:t xml:space="preserve">The sample will consist of 1,200 households in Pakistan Karachi. Participants will be selected from low-income neighborhoods where daily wage labor is the primary source of income. Inclusion criteria require the household head to be between 25 and 50 years of age and to have no existing formal bank account.</w:t>
      </w:r>
    </w:p>
    <w:bookmarkEnd w:id="23"/>
    <w:bookmarkStart w:id="24" w:name="randomization-strategy"/>
    <w:p>
      <w:pPr>
        <w:pStyle w:val="Heading3"/>
      </w:pPr>
      <w:r>
        <w:t xml:space="preserve">4.2 Randomization Strategy</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Receives standard financial information pamphlets.</w:t>
      </w:r>
    </w:p>
    <w:p>
      <w:pPr>
        <w:numPr>
          <w:ilvl w:val="0"/>
          <w:numId w:val="1002"/>
        </w:numPr>
        <w:pStyle w:val="Compact"/>
      </w:pPr>
      <w:r>
        <w:rPr>
          <w:bCs/>
          <w:b/>
        </w:rPr>
        <w:t xml:space="preserve">Treatment Group A (Social Norms):</w:t>
      </w:r>
      <w:r>
        <w:t xml:space="preserve"> </w:t>
      </w:r>
      <w:r>
        <w:t xml:space="preserve">Participants are asked to publicly announce their savings goals to a community leader.</w:t>
      </w:r>
    </w:p>
    <w:p>
      <w:pPr>
        <w:numPr>
          <w:ilvl w:val="0"/>
          <w:numId w:val="1002"/>
        </w:numPr>
        <w:pStyle w:val="Compact"/>
      </w:pPr>
      <w:r>
        <w:rPr>
          <w:bCs/>
          <w:b/>
        </w:rPr>
        <w:t xml:space="preserve">Treatment Group B (Incentive Framing):</w:t>
      </w:r>
      <w:r>
        <w:t xml:space="preserve"> </w:t>
      </w:r>
      <w:r>
        <w:t xml:space="preserve">Participants are offered a matching savings bonus, framed as a "community reward" rather than a bank interest rate.</w:t>
      </w:r>
    </w:p>
    <w:bookmarkEnd w:id="24"/>
    <w:bookmarkEnd w:id="25"/>
    <w:bookmarkStart w:id="30" w:name="methodology-and-procedures"/>
    <w:p>
      <w:pPr>
        <w:pStyle w:val="Heading2"/>
      </w:pPr>
      <w:r>
        <w:t xml:space="preserve">5. Methodology and Procedures</w:t>
      </w:r>
    </w:p>
    <w:p>
      <w:pPr>
        <w:pStyle w:val="FirstParagraph"/>
      </w:pPr>
      <w:r>
        <w:t xml:space="preserve">The execution of this protocol requires strict adherence to the following steps to ensure the integrity of the economic data collected.</w:t>
      </w:r>
    </w:p>
    <w:bookmarkStart w:id="26" w:name="recruitment-and-consent"/>
    <w:p>
      <w:pPr>
        <w:pStyle w:val="Heading3"/>
      </w:pPr>
      <w:r>
        <w:t xml:space="preserve">5.1 Recruitment and Consent</w:t>
      </w:r>
    </w:p>
    <w:p>
      <w:pPr>
        <w:pStyle w:val="FirstParagraph"/>
      </w:pPr>
      <w:r>
        <w:t xml:space="preserve">Field enumerators will visit selected neighborhoods in Pakistan Karachi. They will explain the study in Urdu and Sindhi to ensure comprehension. Informed consent will be obtained verbally and via thumbprint, acknowledging that participation is voluntary and that data will be kept confidential. This step is crucial given the sensitivity of financial data in the region.</w:t>
      </w:r>
    </w:p>
    <w:bookmarkEnd w:id="26"/>
    <w:bookmarkStart w:id="27" w:name="baseline-survey"/>
    <w:p>
      <w:pPr>
        <w:pStyle w:val="Heading3"/>
      </w:pPr>
      <w:r>
        <w:t xml:space="preserve">5.2 Baseline Survey</w:t>
      </w:r>
    </w:p>
    <w:p>
      <w:pPr>
        <w:pStyle w:val="FirstParagraph"/>
      </w:pPr>
      <w:r>
        <w:t xml:space="preserve">A comprehensive baseline survey will be administered to all participants. This survey will capture:</w:t>
      </w:r>
    </w:p>
    <w:p>
      <w:pPr>
        <w:numPr>
          <w:ilvl w:val="0"/>
          <w:numId w:val="1003"/>
        </w:numPr>
        <w:pStyle w:val="Compact"/>
      </w:pPr>
      <w:r>
        <w:t xml:space="preserve">Demographic information.</w:t>
      </w:r>
    </w:p>
    <w:p>
      <w:pPr>
        <w:numPr>
          <w:ilvl w:val="0"/>
          <w:numId w:val="1003"/>
        </w:numPr>
        <w:pStyle w:val="Compact"/>
      </w:pPr>
      <w:r>
        <w:t xml:space="preserve">Current income levels and volatility.</w:t>
      </w:r>
    </w:p>
    <w:p>
      <w:pPr>
        <w:numPr>
          <w:ilvl w:val="0"/>
          <w:numId w:val="1003"/>
        </w:numPr>
        <w:pStyle w:val="Compact"/>
      </w:pPr>
      <w:r>
        <w:t xml:space="preserve">Existing savings mechanisms (e.g., jewelry, cash at home).</w:t>
      </w:r>
    </w:p>
    <w:p>
      <w:pPr>
        <w:numPr>
          <w:ilvl w:val="0"/>
          <w:numId w:val="1003"/>
        </w:numPr>
        <w:pStyle w:val="Compact"/>
      </w:pPr>
      <w:r>
        <w:t xml:space="preserve">Risk tolerance and time preference measures.</w:t>
      </w:r>
    </w:p>
    <w:bookmarkEnd w:id="27"/>
    <w:bookmarkStart w:id="28" w:name="intervention-implementation"/>
    <w:p>
      <w:pPr>
        <w:pStyle w:val="Heading3"/>
      </w:pPr>
      <w:r>
        <w:t xml:space="preserve">5.3 Intervention Implementation</w:t>
      </w:r>
    </w:p>
    <w:p>
      <w:pPr>
        <w:pStyle w:val="FirstParagraph"/>
      </w:pPr>
      <w:r>
        <w:t xml:space="preserve">Following randomization, the Economist will oversee the deployment of interventions. For Treatment Group A, community meetings will be organized in local mosques or community centers in Pakistan Karachi. For Treatment Group B, partnerships with local microfinance institutions will be leveraged to implement the matching bonus scheme.</w:t>
      </w:r>
    </w:p>
    <w:bookmarkEnd w:id="28"/>
    <w:bookmarkStart w:id="29" w:name="data-collection"/>
    <w:p>
      <w:pPr>
        <w:pStyle w:val="Heading3"/>
      </w:pPr>
      <w:r>
        <w:t xml:space="preserve">5.4 Data Collection</w:t>
      </w:r>
    </w:p>
    <w:p>
      <w:pPr>
        <w:pStyle w:val="FirstParagraph"/>
      </w:pPr>
      <w:r>
        <w:t xml:space="preserve">Follow-up surveys will be conducted at three-month and six-month intervals. Enumerators will verify savings data through third-party validation where possible to mitigate self-reporting bias. Mobile technology will be used to record data in real-time, reducing transcription errors.</w:t>
      </w:r>
    </w:p>
    <w:bookmarkEnd w:id="29"/>
    <w:bookmarkEnd w:id="30"/>
    <w:bookmarkStart w:id="31" w:name="ethical-considerations"/>
    <w:p>
      <w:pPr>
        <w:pStyle w:val="Heading2"/>
      </w:pPr>
      <w:r>
        <w:t xml:space="preserve">6. Ethical Considerations</w:t>
      </w:r>
    </w:p>
    <w:p>
      <w:pPr>
        <w:pStyle w:val="FirstParagraph"/>
      </w:pPr>
      <w:r>
        <w:t xml:space="preserve">This protocol adheres to the ethical guidelines set forth by the Declaration of Helsinki and local regulations in Pakistan. Key ethical considerations include:</w:t>
      </w:r>
    </w:p>
    <w:p>
      <w:pPr>
        <w:numPr>
          <w:ilvl w:val="0"/>
          <w:numId w:val="1004"/>
        </w:numPr>
        <w:pStyle w:val="Compact"/>
      </w:pPr>
      <w:r>
        <w:rPr>
          <w:bCs/>
          <w:b/>
        </w:rPr>
        <w:t xml:space="preserve">Do No Harm:</w:t>
      </w:r>
      <w:r>
        <w:t xml:space="preserve"> </w:t>
      </w:r>
      <w:r>
        <w:t xml:space="preserve">The experiment must not induce financial distress. Participants will be monitored for adverse effects.</w:t>
      </w:r>
    </w:p>
    <w:p>
      <w:pPr>
        <w:numPr>
          <w:ilvl w:val="0"/>
          <w:numId w:val="1004"/>
        </w:numPr>
        <w:pStyle w:val="Compact"/>
      </w:pPr>
      <w:r>
        <w:rPr>
          <w:bCs/>
          <w:b/>
        </w:rPr>
        <w:t xml:space="preserve">Privacy:</w:t>
      </w:r>
      <w:r>
        <w:t xml:space="preserve"> </w:t>
      </w:r>
      <w:r>
        <w:t xml:space="preserve">All personal and financial data will be anonymized. Data storage will comply with international security standards.</w:t>
      </w:r>
    </w:p>
    <w:p>
      <w:pPr>
        <w:numPr>
          <w:ilvl w:val="0"/>
          <w:numId w:val="1004"/>
        </w:numPr>
        <w:pStyle w:val="Compact"/>
      </w:pPr>
      <w:r>
        <w:rPr>
          <w:bCs/>
          <w:b/>
        </w:rPr>
        <w:t xml:space="preserve">Debriefing:</w:t>
      </w:r>
      <w:r>
        <w:t xml:space="preserve"> </w:t>
      </w:r>
      <w:r>
        <w:t xml:space="preserve">Upon completion, all participants will be fully debriefed about the study's purpose and findings.</w:t>
      </w:r>
    </w:p>
    <w:bookmarkEnd w:id="31"/>
    <w:bookmarkStart w:id="32" w:name="data-analysis-plan"/>
    <w:p>
      <w:pPr>
        <w:pStyle w:val="Heading2"/>
      </w:pPr>
      <w:r>
        <w:t xml:space="preserve">7. Data Analysis Plan</w:t>
      </w:r>
    </w:p>
    <w:p>
      <w:pPr>
        <w:pStyle w:val="FirstParagraph"/>
      </w:pPr>
      <w:r>
        <w:t xml:space="preserve">The Economist will employ econometric techniques to analyze the data. The primary analysis will use Intent-to-Treat (ITT) estimation to compare outcomes across the three groups. Secondary analyses will explore heterogeneity of treatment effects based on gender, age, and income level. Robustness checks will be performed to ensure the reliability of the results.</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Recruitment of enumerators, ethical approval, tool development.</w:t>
            </w:r>
          </w:p>
        </w:tc>
      </w:tr>
      <w:tr>
        <w:tc>
          <w:tcPr/>
          <w:p>
            <w:pPr>
              <w:pStyle w:val="Compact"/>
              <w:jc w:val="left"/>
            </w:pPr>
            <w:r>
              <w:t xml:space="preserve">Baseline</w:t>
            </w:r>
          </w:p>
        </w:tc>
        <w:tc>
          <w:tcPr/>
          <w:p>
            <w:pPr>
              <w:pStyle w:val="Compact"/>
              <w:jc w:val="left"/>
            </w:pPr>
            <w:r>
              <w:t xml:space="preserve">Month 2</w:t>
            </w:r>
          </w:p>
        </w:tc>
        <w:tc>
          <w:tcPr/>
          <w:p>
            <w:pPr>
              <w:pStyle w:val="Compact"/>
              <w:jc w:val="left"/>
            </w:pPr>
            <w:r>
              <w:t xml:space="preserve">Recruitment, consent, baseline survey, randomization.</w:t>
            </w:r>
          </w:p>
        </w:tc>
      </w:tr>
      <w:tr>
        <w:tc>
          <w:tcPr/>
          <w:p>
            <w:pPr>
              <w:pStyle w:val="Compact"/>
              <w:jc w:val="left"/>
            </w:pPr>
            <w:r>
              <w:t xml:space="preserve">Intervention</w:t>
            </w:r>
          </w:p>
        </w:tc>
        <w:tc>
          <w:tcPr/>
          <w:p>
            <w:pPr>
              <w:pStyle w:val="Compact"/>
              <w:jc w:val="left"/>
            </w:pPr>
            <w:r>
              <w:t xml:space="preserve">Months 3-6</w:t>
            </w:r>
          </w:p>
        </w:tc>
        <w:tc>
          <w:tcPr/>
          <w:p>
            <w:pPr>
              <w:pStyle w:val="Compact"/>
              <w:jc w:val="left"/>
            </w:pPr>
            <w:r>
              <w:t xml:space="preserve">Implementation of treatments, monitoring.</w:t>
            </w:r>
          </w:p>
        </w:tc>
      </w:tr>
      <w:tr>
        <w:tc>
          <w:tcPr/>
          <w:p>
            <w:pPr>
              <w:pStyle w:val="Compact"/>
              <w:jc w:val="left"/>
            </w:pPr>
            <w:r>
              <w:t xml:space="preserve">Follow-up</w:t>
            </w:r>
          </w:p>
        </w:tc>
        <w:tc>
          <w:tcPr/>
          <w:p>
            <w:pPr>
              <w:pStyle w:val="Compact"/>
              <w:jc w:val="left"/>
            </w:pPr>
            <w:r>
              <w:t xml:space="preserve">Months 7-8</w:t>
            </w:r>
          </w:p>
        </w:tc>
        <w:tc>
          <w:tcPr/>
          <w:p>
            <w:pPr>
              <w:pStyle w:val="Compact"/>
              <w:jc w:val="left"/>
            </w:pPr>
            <w:r>
              <w:t xml:space="preserve">Mid-term and end-line surveys.</w:t>
            </w:r>
          </w:p>
        </w:tc>
      </w:tr>
      <w:tr>
        <w:tc>
          <w:tcPr/>
          <w:p>
            <w:pPr>
              <w:pStyle w:val="Compact"/>
              <w:jc w:val="left"/>
            </w:pPr>
            <w:r>
              <w:t xml:space="preserve">Analysis</w:t>
            </w:r>
          </w:p>
        </w:tc>
        <w:tc>
          <w:tcPr/>
          <w:p>
            <w:pPr>
              <w:pStyle w:val="Compact"/>
              <w:jc w:val="left"/>
            </w:pPr>
            <w:r>
              <w:t xml:space="preserve">Months 9-10</w:t>
            </w:r>
          </w:p>
        </w:tc>
        <w:tc>
          <w:tcPr/>
          <w:p>
            <w:pPr>
              <w:pStyle w:val="Compact"/>
              <w:jc w:val="left"/>
            </w:pPr>
            <w:r>
              <w:t xml:space="preserve">Data cleaning, econometric analysis, report writing.</w:t>
            </w:r>
          </w:p>
        </w:tc>
      </w:tr>
    </w:tbl>
    <w:bookmarkEnd w:id="33"/>
    <w:bookmarkStart w:id="34" w:name="conclusion"/>
    <w:p>
      <w:pPr>
        <w:pStyle w:val="Heading2"/>
      </w:pPr>
      <w:r>
        <w:t xml:space="preserve">9. Conclusion</w:t>
      </w:r>
    </w:p>
    <w:p>
      <w:pPr>
        <w:pStyle w:val="FirstParagraph"/>
      </w:pPr>
      <w:r>
        <w:t xml:space="preserve">This Experiment Protocol provides a rigorous framework for investigating behavioral economic phenomena in Pakistan Karachi. By adapting methodologies to the local context, the Economist aims to generate actionable insights that can improve financial inclusion and economic resilience for vulnerable populations. The findings will contribute to the broader literature on development economics and inform policy decisions in Pakistan and similar emerging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Pakistan Karachi</dc:title>
  <dc:creator/>
  <dc:language>en</dc:language>
  <cp:keywords/>
  <dcterms:created xsi:type="dcterms:W3CDTF">2026-10-10T08:02:56Z</dcterms:created>
  <dcterms:modified xsi:type="dcterms:W3CDTF">2026-10-10T08:02:56Z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