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Johannesburg</w:t>
      </w:r>
    </w:p>
    <w:bookmarkStart w:id="20" w:name="Xa1601d031c822f9962ca6472064d0b764c251db"/>
    <w:p>
      <w:pPr>
        <w:pStyle w:val="Heading1"/>
      </w:pPr>
      <w:r>
        <w:t xml:space="preserve">Experiment Protocol: Behavioral Responses to Microfinance Incentives</w:t>
      </w:r>
    </w:p>
    <w:p>
      <w:pPr>
        <w:pStyle w:val="FirstParagraph"/>
      </w:pPr>
      <w:r>
        <w:rPr>
          <w:bCs/>
          <w:b/>
        </w:rPr>
        <w:t xml:space="preserve">Location:</w:t>
      </w:r>
      <w:r>
        <w:t xml:space="preserve"> </w:t>
      </w:r>
      <w:r>
        <w:t xml:space="preserve">Johannesburg, South Africa</w:t>
      </w:r>
    </w:p>
    <w:p>
      <w:pPr>
        <w:pStyle w:val="BodyText"/>
      </w:pPr>
      <w:r>
        <w:rPr>
          <w:bCs/>
          <w:b/>
        </w:rPr>
        <w:t xml:space="preserve">Principal Investigator:</w:t>
      </w:r>
      <w:r>
        <w:t xml:space="preserve"> </w:t>
      </w:r>
      <w:r>
        <w:t xml:space="preserve">Lead Economist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designed to analyze the decision-making processes of low-income households regarding financial inclusion. The study is situated in Johannesburg, South Africa, a city characterized by significant economic disparity and a vibrant informal sector. The primary objective is to determine how specific behavioral nudges influence the uptake of micro-savings products among residents of high-density townships.</w:t>
      </w:r>
    </w:p>
    <w:p>
      <w:pPr>
        <w:pStyle w:val="BodyText"/>
      </w:pPr>
      <w:r>
        <w:t xml:space="preserve">As an Economist, the researcher aims to move beyond traditional neoclassical models of rational choice. By conducting this experiment in the unique socio-economic landscape of Johannesburg, we can observe how cultural factors, liquidity constraints, and trust in financial institutions interact with economic incentives. The findings will contribute to the broader literature on development economics and provide actionable data for policymakers in South Africa.</w:t>
      </w:r>
    </w:p>
    <w:bookmarkEnd w:id="21"/>
    <w:bookmarkStart w:id="22" w:name="research-objectives"/>
    <w:p>
      <w:pPr>
        <w:pStyle w:val="Heading2"/>
      </w:pPr>
      <w:r>
        <w:t xml:space="preserve">2. Research Objectives</w:t>
      </w:r>
    </w:p>
    <w:p>
      <w:pPr>
        <w:pStyle w:val="FirstParagraph"/>
      </w:pPr>
      <w:r>
        <w:t xml:space="preserve">The core objectives of this experiment are:</w:t>
      </w:r>
    </w:p>
    <w:p>
      <w:pPr>
        <w:numPr>
          <w:ilvl w:val="0"/>
          <w:numId w:val="1001"/>
        </w:numPr>
        <w:pStyle w:val="Compact"/>
      </w:pPr>
      <w:r>
        <w:t xml:space="preserve">To measure the elasticity of savings behavior in response to matching incentives.</w:t>
      </w:r>
    </w:p>
    <w:p>
      <w:pPr>
        <w:numPr>
          <w:ilvl w:val="0"/>
          <w:numId w:val="1001"/>
        </w:numPr>
        <w:pStyle w:val="Compact"/>
      </w:pPr>
      <w:r>
        <w:t xml:space="preserve">To assess the impact of social proof (peer influence) on financial product adoption in Johannesburg communities.</w:t>
      </w:r>
    </w:p>
    <w:p>
      <w:pPr>
        <w:numPr>
          <w:ilvl w:val="0"/>
          <w:numId w:val="1001"/>
        </w:numPr>
        <w:pStyle w:val="Compact"/>
      </w:pPr>
      <w:r>
        <w:t xml:space="preserve">To evaluate the role of transaction costs and physical accessibility of banking services in the Greater Johannesburg area.</w:t>
      </w:r>
    </w:p>
    <w:p>
      <w:pPr>
        <w:numPr>
          <w:ilvl w:val="0"/>
          <w:numId w:val="1001"/>
        </w:numPr>
        <w:pStyle w:val="Compact"/>
      </w:pPr>
      <w:r>
        <w:t xml:space="preserve">To provide empirical evidence that can guide the design of more effective financial inclusion policies in South Africa.</w:t>
      </w:r>
    </w:p>
    <w:bookmarkEnd w:id="22"/>
    <w:bookmarkStart w:id="25" w:name="study-design"/>
    <w:p>
      <w:pPr>
        <w:pStyle w:val="Heading2"/>
      </w:pPr>
      <w:r>
        <w:t xml:space="preserve">3. Study Design</w:t>
      </w:r>
    </w:p>
    <w:p>
      <w:pPr>
        <w:pStyle w:val="FirstParagraph"/>
      </w:pPr>
      <w:r>
        <w:t xml:space="preserve">The study will utilize a Randomized Controlled Trial (RCT) design, which is the gold standard in experimental economics. The experiment will be conducted over a period of six months.</w:t>
      </w:r>
    </w:p>
    <w:bookmarkStart w:id="23" w:name="target-population"/>
    <w:p>
      <w:pPr>
        <w:pStyle w:val="Heading3"/>
      </w:pPr>
      <w:r>
        <w:t xml:space="preserve">3.1 Target Population</w:t>
      </w:r>
    </w:p>
    <w:p>
      <w:pPr>
        <w:pStyle w:val="FirstParagraph"/>
      </w:pPr>
      <w:r>
        <w:t xml:space="preserve">The sample will consist of 1,200 adult residents (aged 18-60) from three distinct areas in Johannesburg: Soweto, Alexandra, and Diepkloof. These areas were selected to represent a cross-section of urban township economies in South Africa. Participants must be employed (formally or informally) and not currently holding a formal savings account.</w:t>
      </w:r>
    </w:p>
    <w:bookmarkEnd w:id="23"/>
    <w:bookmarkStart w:id="24" w:name="randomization-strategy"/>
    <w:p>
      <w:pPr>
        <w:pStyle w:val="Heading3"/>
      </w:pPr>
      <w:r>
        <w:t xml:space="preserve">3.2 Randomization Strategy</w:t>
      </w:r>
    </w:p>
    <w:p>
      <w:pPr>
        <w:pStyle w:val="FirstParagraph"/>
      </w:pPr>
      <w:r>
        <w:t xml:space="preserve">Participants will be randomly assigned to one of three groups:</w:t>
      </w:r>
    </w:p>
    <w:p>
      <w:pPr>
        <w:numPr>
          <w:ilvl w:val="0"/>
          <w:numId w:val="1002"/>
        </w:numPr>
        <w:pStyle w:val="Compact"/>
      </w:pPr>
      <w:r>
        <w:rPr>
          <w:bCs/>
          <w:b/>
        </w:rPr>
        <w:t xml:space="preserve">Control Group:</w:t>
      </w:r>
      <w:r>
        <w:t xml:space="preserve"> </w:t>
      </w:r>
      <w:r>
        <w:t xml:space="preserve">Receives standard information about the savings product.</w:t>
      </w:r>
    </w:p>
    <w:p>
      <w:pPr>
        <w:numPr>
          <w:ilvl w:val="0"/>
          <w:numId w:val="1002"/>
        </w:numPr>
        <w:pStyle w:val="Compact"/>
      </w:pPr>
      <w:r>
        <w:rPr>
          <w:bCs/>
          <w:b/>
        </w:rPr>
        <w:t xml:space="preserve">Treatment Group A (Financial Incentive):</w:t>
      </w:r>
      <w:r>
        <w:t xml:space="preserve"> </w:t>
      </w:r>
      <w:r>
        <w:t xml:space="preserve">Receives information plus a 20% matching grant on savings up to a certain threshold.</w:t>
      </w:r>
    </w:p>
    <w:p>
      <w:pPr>
        <w:numPr>
          <w:ilvl w:val="0"/>
          <w:numId w:val="1002"/>
        </w:numPr>
        <w:pStyle w:val="Compact"/>
      </w:pPr>
      <w:r>
        <w:rPr>
          <w:bCs/>
          <w:b/>
        </w:rPr>
        <w:t xml:space="preserve">Treatment Group B (Social Nudge):</w:t>
      </w:r>
      <w:r>
        <w:t xml:space="preserve"> </w:t>
      </w:r>
      <w:r>
        <w:t xml:space="preserve">Receives information plus testimonials from respected community leaders in Johannesburg who use the product.</w:t>
      </w:r>
    </w:p>
    <w:bookmarkEnd w:id="24"/>
    <w:bookmarkEnd w:id="25"/>
    <w:bookmarkStart w:id="29" w:name="methodology-and-procedures"/>
    <w:p>
      <w:pPr>
        <w:pStyle w:val="Heading2"/>
      </w:pPr>
      <w:r>
        <w:t xml:space="preserve">4. Methodology and Procedures</w:t>
      </w:r>
    </w:p>
    <w:bookmarkStart w:id="26" w:name="recruitment"/>
    <w:p>
      <w:pPr>
        <w:pStyle w:val="Heading3"/>
      </w:pPr>
      <w:r>
        <w:t xml:space="preserve">4.1 Recruitment</w:t>
      </w:r>
    </w:p>
    <w:p>
      <w:pPr>
        <w:pStyle w:val="FirstParagraph"/>
      </w:pPr>
      <w:r>
        <w:t xml:space="preserve">Recruitment will be conducted through community centers and local stokvels (traditional savings clubs) in Johannesburg. Informed consent will be obtained in both English and isiZulu to ensure full comprehension. The Economist will oversee the training of local enumerators to minimize cultural bias during recruitment.</w:t>
      </w:r>
    </w:p>
    <w:bookmarkEnd w:id="26"/>
    <w:bookmarkStart w:id="27" w:name="data-collection"/>
    <w:p>
      <w:pPr>
        <w:pStyle w:val="Heading3"/>
      </w:pPr>
      <w:r>
        <w:t xml:space="preserve">4.2 Data Collection</w:t>
      </w:r>
    </w:p>
    <w:p>
      <w:pPr>
        <w:pStyle w:val="FirstParagraph"/>
      </w:pPr>
      <w:r>
        <w:t xml:space="preserve">Data will be collected at three intervals: Baseline (Week 1), Midline (Week 12), and Endline (Week 24). The data collection instruments include:</w:t>
      </w:r>
    </w:p>
    <w:p>
      <w:pPr>
        <w:numPr>
          <w:ilvl w:val="0"/>
          <w:numId w:val="1003"/>
        </w:numPr>
        <w:pStyle w:val="Compact"/>
      </w:pPr>
      <w:r>
        <w:t xml:space="preserve">Structured surveys assessing income, expenditure, and financial literacy.</w:t>
      </w:r>
    </w:p>
    <w:p>
      <w:pPr>
        <w:numPr>
          <w:ilvl w:val="0"/>
          <w:numId w:val="1003"/>
        </w:numPr>
        <w:pStyle w:val="Compact"/>
      </w:pPr>
      <w:r>
        <w:t xml:space="preserve">Bank statements (with permission) to verify actual savings behavior.</w:t>
      </w:r>
    </w:p>
    <w:p>
      <w:pPr>
        <w:numPr>
          <w:ilvl w:val="0"/>
          <w:numId w:val="1003"/>
        </w:numPr>
        <w:pStyle w:val="Compact"/>
      </w:pPr>
      <w:r>
        <w:t xml:space="preserve">Focus group discussions to gather qualitative insights on barriers to entry.</w:t>
      </w:r>
    </w:p>
    <w:bookmarkEnd w:id="27"/>
    <w:bookmarkStart w:id="28" w:name="implementation-in-johannesburg"/>
    <w:p>
      <w:pPr>
        <w:pStyle w:val="Heading3"/>
      </w:pPr>
      <w:r>
        <w:t xml:space="preserve">4.3 Implementation in Johannesburg</w:t>
      </w:r>
    </w:p>
    <w:p>
      <w:pPr>
        <w:pStyle w:val="FirstParagraph"/>
      </w:pPr>
      <w:r>
        <w:t xml:space="preserve">Given the logistical challenges in Johannesburg, such as traffic congestion and security concerns, the experiment will utilize mobile data collection tablets. Enumerators will be deployed in teams to ensure safety and efficiency. The study will partner with a local South African bank to facilitate the opening of accounts and the disbursement of incentives.</w:t>
      </w:r>
    </w:p>
    <w:bookmarkEnd w:id="28"/>
    <w:bookmarkEnd w:id="29"/>
    <w:bookmarkStart w:id="30" w:name="ethical-considerations"/>
    <w:p>
      <w:pPr>
        <w:pStyle w:val="Heading2"/>
      </w:pPr>
      <w:r>
        <w:t xml:space="preserve">5. Ethical Considerations</w:t>
      </w:r>
    </w:p>
    <w:p>
      <w:pPr>
        <w:pStyle w:val="FirstParagraph"/>
      </w:pPr>
      <w:r>
        <w:t xml:space="preserve">This experiment adheres to the highest ethical standards in economic research. Key considerations include:</w:t>
      </w:r>
    </w:p>
    <w:p>
      <w:pPr>
        <w:numPr>
          <w:ilvl w:val="0"/>
          <w:numId w:val="1004"/>
        </w:numPr>
        <w:pStyle w:val="Compact"/>
      </w:pPr>
      <w:r>
        <w:rPr>
          <w:bCs/>
          <w:b/>
        </w:rPr>
        <w:t xml:space="preserve">Informed Consent:</w:t>
      </w:r>
      <w:r>
        <w:t xml:space="preserve"> </w:t>
      </w:r>
      <w:r>
        <w:t xml:space="preserve">All participants will sign a consent form detailing the purpose of the study, their rights, and the voluntary nature of their participation.</w:t>
      </w:r>
    </w:p>
    <w:p>
      <w:pPr>
        <w:numPr>
          <w:ilvl w:val="0"/>
          <w:numId w:val="1004"/>
        </w:numPr>
        <w:pStyle w:val="Compact"/>
      </w:pPr>
      <w:r>
        <w:rPr>
          <w:bCs/>
          <w:b/>
        </w:rPr>
        <w:t xml:space="preserve">Privacy:</w:t>
      </w:r>
      <w:r>
        <w:t xml:space="preserve"> </w:t>
      </w:r>
      <w:r>
        <w:t xml:space="preserve">All personal data will be anonymized and stored securely in compliance with the Protection of Personal Information Act (POPIA) of South Africa.</w:t>
      </w:r>
    </w:p>
    <w:p>
      <w:pPr>
        <w:numPr>
          <w:ilvl w:val="0"/>
          <w:numId w:val="1004"/>
        </w:numPr>
        <w:pStyle w:val="Compact"/>
      </w:pPr>
      <w:r>
        <w:rPr>
          <w:bCs/>
          <w:b/>
        </w:rPr>
        <w:t xml:space="preserve">Debriefing:</w:t>
      </w:r>
      <w:r>
        <w:t xml:space="preserve"> </w:t>
      </w:r>
      <w:r>
        <w:t xml:space="preserve">Upon completion, participants in the Control Group will be offered the opportunity to access the savings product under the same terms as the treatment groups.</w:t>
      </w:r>
    </w:p>
    <w:p>
      <w:pPr>
        <w:numPr>
          <w:ilvl w:val="0"/>
          <w:numId w:val="1004"/>
        </w:numPr>
        <w:pStyle w:val="Compact"/>
      </w:pPr>
      <w:r>
        <w:rPr>
          <w:bCs/>
          <w:b/>
        </w:rPr>
        <w:t xml:space="preserve">Approval:</w:t>
      </w:r>
      <w:r>
        <w:t xml:space="preserve"> </w:t>
      </w:r>
      <w:r>
        <w:t xml:space="preserve">The protocol has been reviewed and approved by the Institutional Review Board (IRB) of the hosting university.</w:t>
      </w:r>
    </w:p>
    <w:bookmarkEnd w:id="30"/>
    <w:bookmarkStart w:id="31" w:name="data-analysis-plan"/>
    <w:p>
      <w:pPr>
        <w:pStyle w:val="Heading2"/>
      </w:pPr>
      <w:r>
        <w:t xml:space="preserve">6. Data Analysis Plan</w:t>
      </w:r>
    </w:p>
    <w:p>
      <w:pPr>
        <w:pStyle w:val="FirstParagraph"/>
      </w:pPr>
      <w:r>
        <w:t xml:space="preserve">The Economist will employ econometric techniques to analyze the data. The primary analysis will use Ordinary Least Squares (OLS) regression to compare the mean savings across the three groups. We will control for individual characteristics such as age, gender, income level, and education. Additionally, we will conduct heterogeneity analysis to determine if the effects vary by gender or employment status.</w:t>
      </w:r>
    </w:p>
    <w:p>
      <w:pPr>
        <w:pStyle w:val="BodyText"/>
      </w:pPr>
      <w:r>
        <w:t xml:space="preserve">The analysis will also include cost-benefit calculations to assess the scalability of the interventions. This is crucial for providing policy recommendations that are not only effective but also financially viable for implementation across South Africa.</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Recruitment of enumerators, training, partnership establishment.</w:t>
            </w:r>
          </w:p>
        </w:tc>
      </w:tr>
      <w:tr>
        <w:tc>
          <w:tcPr/>
          <w:p>
            <w:pPr>
              <w:pStyle w:val="Compact"/>
              <w:jc w:val="left"/>
            </w:pPr>
            <w:r>
              <w:t xml:space="preserve">Baseline Survey</w:t>
            </w:r>
          </w:p>
        </w:tc>
        <w:tc>
          <w:tcPr/>
          <w:p>
            <w:pPr>
              <w:pStyle w:val="Compact"/>
              <w:jc w:val="left"/>
            </w:pPr>
            <w:r>
              <w:t xml:space="preserve">Month 3</w:t>
            </w:r>
          </w:p>
        </w:tc>
        <w:tc>
          <w:tcPr/>
          <w:p>
            <w:pPr>
              <w:pStyle w:val="Compact"/>
              <w:jc w:val="left"/>
            </w:pPr>
            <w:r>
              <w:t xml:space="preserve">Recruitment of participants, randomization, baseline data collection.</w:t>
            </w:r>
          </w:p>
        </w:tc>
      </w:tr>
      <w:tr>
        <w:tc>
          <w:tcPr/>
          <w:p>
            <w:pPr>
              <w:pStyle w:val="Compact"/>
              <w:jc w:val="left"/>
            </w:pPr>
            <w:r>
              <w:t xml:space="preserve">Intervention</w:t>
            </w:r>
          </w:p>
        </w:tc>
        <w:tc>
          <w:tcPr/>
          <w:p>
            <w:pPr>
              <w:pStyle w:val="Compact"/>
              <w:jc w:val="left"/>
            </w:pPr>
            <w:r>
              <w:t xml:space="preserve">Months 4-9</w:t>
            </w:r>
          </w:p>
        </w:tc>
        <w:tc>
          <w:tcPr/>
          <w:p>
            <w:pPr>
              <w:pStyle w:val="Compact"/>
              <w:jc w:val="left"/>
            </w:pPr>
            <w:r>
              <w:t xml:space="preserve">Implementation of treatments, midline survey.</w:t>
            </w:r>
          </w:p>
        </w:tc>
      </w:tr>
      <w:tr>
        <w:tc>
          <w:tcPr/>
          <w:p>
            <w:pPr>
              <w:pStyle w:val="Compact"/>
              <w:jc w:val="left"/>
            </w:pPr>
            <w:r>
              <w:t xml:space="preserve">Endline Survey</w:t>
            </w:r>
          </w:p>
        </w:tc>
        <w:tc>
          <w:tcPr/>
          <w:p>
            <w:pPr>
              <w:pStyle w:val="Compact"/>
              <w:jc w:val="left"/>
            </w:pPr>
            <w:r>
              <w:t xml:space="preserve">Month 10</w:t>
            </w:r>
          </w:p>
        </w:tc>
        <w:tc>
          <w:tcPr/>
          <w:p>
            <w:pPr>
              <w:pStyle w:val="Compact"/>
              <w:jc w:val="left"/>
            </w:pPr>
            <w:r>
              <w:t xml:space="preserve">Final data collection, debriefing.</w:t>
            </w:r>
          </w:p>
        </w:tc>
      </w:tr>
      <w:tr>
        <w:tc>
          <w:tcPr/>
          <w:p>
            <w:pPr>
              <w:pStyle w:val="Compact"/>
              <w:jc w:val="left"/>
            </w:pPr>
            <w:r>
              <w:t xml:space="preserve">Analysis</w:t>
            </w:r>
          </w:p>
        </w:tc>
        <w:tc>
          <w:tcPr/>
          <w:p>
            <w:pPr>
              <w:pStyle w:val="Compact"/>
              <w:jc w:val="left"/>
            </w:pPr>
            <w:r>
              <w:t xml:space="preserve">Months 11-12</w:t>
            </w:r>
          </w:p>
        </w:tc>
        <w:tc>
          <w:tcPr/>
          <w:p>
            <w:pPr>
              <w:pStyle w:val="Compact"/>
              <w:jc w:val="left"/>
            </w:pPr>
            <w:r>
              <w:t xml:space="preserve">Data cleaning, econometric analysis, report writing.</w:t>
            </w:r>
          </w:p>
        </w:tc>
      </w:tr>
    </w:tbl>
    <w:bookmarkEnd w:id="32"/>
    <w:bookmarkStart w:id="33" w:name="conclusion"/>
    <w:p>
      <w:pPr>
        <w:pStyle w:val="Heading2"/>
      </w:pPr>
      <w:r>
        <w:t xml:space="preserve">8. Conclusion</w:t>
      </w:r>
    </w:p>
    <w:p>
      <w:pPr>
        <w:pStyle w:val="FirstParagraph"/>
      </w:pPr>
      <w:r>
        <w:t xml:space="preserve">This Experiment Protocol provides a robust framework for investigating the behavioral drivers of financial inclusion in Johannesburg, South Africa. By leveraging the expertise of an Economist and employing rigorous experimental methods, this study aims to generate high-quality evidence that can inform policy and improve the economic well-being of vulnerable populations. The insights gained will be valuable not only for South Africa but also for other emerging economies facing similar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Johannesburg</dc:title>
  <dc:creator/>
  <dc:language>en</dc:language>
  <cp:keywords/>
  <dcterms:created xsi:type="dcterms:W3CDTF">2026-10-10T08:47:21Z</dcterms:created>
  <dcterms:modified xsi:type="dcterms:W3CDTF">2026-10-10T08:47:21Z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