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Behavioral</w:t>
      </w:r>
      <w:r>
        <w:t xml:space="preserve"> </w:t>
      </w:r>
      <w:r>
        <w:t xml:space="preserve">Economics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9846c67488eb29ea1d814ce20ffd12000e79faa"/>
    <w:p>
      <w:pPr>
        <w:pStyle w:val="Heading1"/>
      </w:pPr>
      <w:r>
        <w:t xml:space="preserve">Experiment Protocol: Behavioral Economics in Tanzania Dar es Salaam</w:t>
      </w:r>
    </w:p>
    <w:p>
      <w:pPr>
        <w:pStyle w:val="FirstParagraph"/>
      </w:pPr>
      <w:r>
        <w:rPr>
          <w:bCs/>
          <w:b/>
        </w:rPr>
        <w:t xml:space="preserve">Protocol ID:</w:t>
      </w:r>
      <w:r>
        <w:t xml:space="preserve"> </w:t>
      </w:r>
      <w:r>
        <w:t xml:space="preserve">TZ-DAR-BEH-ECO-2024-001</w:t>
      </w:r>
    </w:p>
    <w:p>
      <w:pPr>
        <w:pStyle w:val="BodyText"/>
      </w:pPr>
      <w:r>
        <w:rPr>
          <w:bCs/>
          <w:b/>
        </w:rPr>
        <w:t xml:space="preserve">Location:</w:t>
      </w:r>
      <w:r>
        <w:t xml:space="preserve"> </w:t>
      </w:r>
      <w:r>
        <w:t xml:space="preserve">Dar es Salaam, Tanzania</w:t>
      </w:r>
    </w:p>
    <w:p>
      <w:pPr>
        <w:pStyle w:val="BodyText"/>
      </w:pPr>
      <w:r>
        <w:rPr>
          <w:bCs/>
          <w:b/>
        </w:rPr>
        <w:t xml:space="preserve">Discipline:</w:t>
      </w:r>
      <w:r>
        <w:t xml:space="preserve"> </w:t>
      </w:r>
      <w:r>
        <w:t xml:space="preserve">Applied Economics / Development Economics</w:t>
      </w:r>
    </w:p>
    <w:p>
      <w:pPr>
        <w:pStyle w:val="BodyText"/>
      </w:pPr>
      <w:r>
        <w:rPr>
          <w:bCs/>
          <w:b/>
        </w:rPr>
        <w:t xml:space="preserve">Date:</w:t>
      </w:r>
      <w:r>
        <w:t xml:space="preserve"> </w:t>
      </w:r>
      <w:r>
        <w:t xml:space="preserve">October 2023</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 field study designed to investigate the decision-making processes of households in Tanzania Dar es Salaam. As the economic hub of Tanzania, Dar es Salaam presents a unique environment characterized by rapid urbanization, a growing informal sector, and increasing financial inclusion through mobile money platforms. The role of the Economist in this context is pivotal, as traditional economic models often fail to account for the behavioral nuances observed in developing economies.</w:t>
      </w:r>
    </w:p>
    <w:p>
      <w:pPr>
        <w:pStyle w:val="BodyText"/>
      </w:pPr>
      <w:r>
        <w:t xml:space="preserve">The primary objective of this study is to analyze how information asymmetry and social norms influence savings behavior among low-to-middle-income earners in Dar es Salaam. By employing rigorous experimental methods, the Economist aims to generate empirical data that can inform policy recommendations for financial institutions and government bodies in Tanzania. This protocol ensures that the research adheres to international ethical standards while remaining culturally relevant to the local population.</w:t>
      </w:r>
    </w:p>
    <w:bookmarkEnd w:id="21"/>
    <w:bookmarkStart w:id="22" w:name="research-objectives"/>
    <w:p>
      <w:pPr>
        <w:pStyle w:val="Heading2"/>
      </w:pPr>
      <w:r>
        <w:t xml:space="preserve">2. Research Objectives</w:t>
      </w:r>
    </w:p>
    <w:p>
      <w:pPr>
        <w:pStyle w:val="FirstParagraph"/>
      </w:pPr>
      <w:r>
        <w:t xml:space="preserve">The specific goals of this experiment are as follows:</w:t>
      </w:r>
    </w:p>
    <w:p>
      <w:pPr>
        <w:numPr>
          <w:ilvl w:val="0"/>
          <w:numId w:val="1001"/>
        </w:numPr>
        <w:pStyle w:val="Compact"/>
      </w:pPr>
      <w:r>
        <w:t xml:space="preserve">To determine the impact of simplified financial literacy interventions on household savings rates in Dar es Salaam.</w:t>
      </w:r>
    </w:p>
    <w:p>
      <w:pPr>
        <w:numPr>
          <w:ilvl w:val="0"/>
          <w:numId w:val="1001"/>
        </w:numPr>
        <w:pStyle w:val="Compact"/>
      </w:pPr>
      <w:r>
        <w:t xml:space="preserve">To assess the effectiveness of commitment devices (such as locked savings accounts) in overcoming present bias among Tanzanian consumers.</w:t>
      </w:r>
    </w:p>
    <w:p>
      <w:pPr>
        <w:numPr>
          <w:ilvl w:val="0"/>
          <w:numId w:val="1001"/>
        </w:numPr>
        <w:pStyle w:val="Compact"/>
      </w:pPr>
      <w:r>
        <w:t xml:space="preserve">To evaluate the role of social proof and community norms in encouraging financial planning within informal settlements.</w:t>
      </w:r>
    </w:p>
    <w:p>
      <w:pPr>
        <w:numPr>
          <w:ilvl w:val="0"/>
          <w:numId w:val="1001"/>
        </w:numPr>
        <w:pStyle w:val="Compact"/>
      </w:pPr>
      <w:r>
        <w:t xml:space="preserve">To provide the Economist with robust data to test theoretical models of bounded rationality in a Sub-Saharan African context.</w:t>
      </w:r>
    </w:p>
    <w:bookmarkEnd w:id="22"/>
    <w:bookmarkStart w:id="26" w:name="study-design-and-methodology"/>
    <w:p>
      <w:pPr>
        <w:pStyle w:val="Heading2"/>
      </w:pPr>
      <w:r>
        <w:t xml:space="preserve">3. Study Design and Methodology</w:t>
      </w:r>
    </w:p>
    <w:bookmarkStart w:id="23" w:name="study-type"/>
    <w:p>
      <w:pPr>
        <w:pStyle w:val="Heading3"/>
      </w:pPr>
      <w:r>
        <w:t xml:space="preserve">3.1 Study Type</w:t>
      </w:r>
    </w:p>
    <w:p>
      <w:pPr>
        <w:pStyle w:val="FirstParagraph"/>
      </w:pPr>
      <w:r>
        <w:t xml:space="preserve">This study will utilize a Randomized Controlled Trial (RCT) design. This approach is considered the gold standard in development economics as it allows the Economist to isolate causal effects. Participants will be randomly assigned to either a treatment group or a control group.</w:t>
      </w:r>
    </w:p>
    <w:bookmarkEnd w:id="23"/>
    <w:bookmarkStart w:id="24" w:name="location-and-sampling"/>
    <w:p>
      <w:pPr>
        <w:pStyle w:val="Heading3"/>
      </w:pPr>
      <w:r>
        <w:t xml:space="preserve">3.2 Location and Sampling</w:t>
      </w:r>
    </w:p>
    <w:p>
      <w:pPr>
        <w:pStyle w:val="FirstParagraph"/>
      </w:pPr>
      <w:r>
        <w:t xml:space="preserve">The experiment will be conducted in selected neighborhoods within Tanzania Dar es Salaam, specifically targeting areas with high densities of informal workers, such as Kariakoo and Manzese. A stratified random sampling method will be used to ensure a representative sample of the population, accounting for variables such as age, gender, and occupation. The target sample size is 600 households.</w:t>
      </w:r>
    </w:p>
    <w:bookmarkEnd w:id="24"/>
    <w:bookmarkStart w:id="25" w:name="intervention"/>
    <w:p>
      <w:pPr>
        <w:pStyle w:val="Heading3"/>
      </w:pPr>
      <w:r>
        <w:t xml:space="preserve">3.3 Intervention</w:t>
      </w:r>
    </w:p>
    <w:p>
      <w:pPr>
        <w:pStyle w:val="FirstParagraph"/>
      </w:pPr>
      <w:r>
        <w:t xml:space="preserve">The treatment group will receive a behavioral intervention designed by the Economist. This intervention includes:</w:t>
      </w:r>
    </w:p>
    <w:p>
      <w:pPr>
        <w:numPr>
          <w:ilvl w:val="0"/>
          <w:numId w:val="1002"/>
        </w:numPr>
        <w:pStyle w:val="Compact"/>
      </w:pPr>
      <w:r>
        <w:rPr>
          <w:bCs/>
          <w:b/>
        </w:rPr>
        <w:t xml:space="preserve">Financial Education Workshops:</w:t>
      </w:r>
      <w:r>
        <w:t xml:space="preserve"> </w:t>
      </w:r>
      <w:r>
        <w:t xml:space="preserve">Short, interactive sessions explaining the benefits of long-term savings.</w:t>
      </w:r>
    </w:p>
    <w:p>
      <w:pPr>
        <w:numPr>
          <w:ilvl w:val="0"/>
          <w:numId w:val="1002"/>
        </w:numPr>
        <w:pStyle w:val="Compact"/>
      </w:pPr>
      <w:r>
        <w:rPr>
          <w:bCs/>
          <w:b/>
        </w:rPr>
        <w:t xml:space="preserve">Commitment Savings Products:</w:t>
      </w:r>
      <w:r>
        <w:t xml:space="preserve"> </w:t>
      </w:r>
      <w:r>
        <w:t xml:space="preserve">Access to a mobile money-based savings account where funds are locked until a specific goal or date is reached.</w:t>
      </w:r>
    </w:p>
    <w:p>
      <w:pPr>
        <w:numPr>
          <w:ilvl w:val="0"/>
          <w:numId w:val="1002"/>
        </w:numPr>
        <w:pStyle w:val="Compact"/>
      </w:pPr>
      <w:r>
        <w:rPr>
          <w:bCs/>
          <w:b/>
        </w:rPr>
        <w:t xml:space="preserve">Social Nudges:</w:t>
      </w:r>
      <w:r>
        <w:t xml:space="preserve"> </w:t>
      </w:r>
      <w:r>
        <w:t xml:space="preserve">Regular SMS reminders highlighting the savings achievements of peers in the community.</w:t>
      </w:r>
    </w:p>
    <w:p>
      <w:pPr>
        <w:pStyle w:val="FirstParagraph"/>
      </w:pPr>
      <w:r>
        <w:t xml:space="preserve">The control group will receive standard financial information available publicly but will not have access to the commitment devices or social nudges.</w:t>
      </w:r>
    </w:p>
    <w:bookmarkEnd w:id="25"/>
    <w:bookmarkEnd w:id="26"/>
    <w:bookmarkStart w:id="27" w:name="data-collection-procedures"/>
    <w:p>
      <w:pPr>
        <w:pStyle w:val="Heading2"/>
      </w:pPr>
      <w:r>
        <w:t xml:space="preserve">4. Data Collection Procedures</w:t>
      </w:r>
    </w:p>
    <w:p>
      <w:pPr>
        <w:pStyle w:val="FirstParagraph"/>
      </w:pPr>
      <w:r>
        <w:t xml:space="preserve">Data collection will occur in three phases: baseline, midline, and endline.</w:t>
      </w:r>
    </w:p>
    <w:p>
      <w:pPr>
        <w:numPr>
          <w:ilvl w:val="0"/>
          <w:numId w:val="1003"/>
        </w:numPr>
        <w:pStyle w:val="Compact"/>
      </w:pPr>
      <w:r>
        <w:rPr>
          <w:bCs/>
          <w:b/>
        </w:rPr>
        <w:t xml:space="preserve">Baseline Survey:</w:t>
      </w:r>
      <w:r>
        <w:t xml:space="preserve"> </w:t>
      </w:r>
      <w:r>
        <w:t xml:space="preserve">Conducted prior to the intervention to establish initial savings habits, income levels, and financial attitudes.</w:t>
      </w:r>
    </w:p>
    <w:p>
      <w:pPr>
        <w:numPr>
          <w:ilvl w:val="0"/>
          <w:numId w:val="1003"/>
        </w:numPr>
        <w:pStyle w:val="Compact"/>
      </w:pPr>
      <w:r>
        <w:rPr>
          <w:bCs/>
          <w:b/>
        </w:rPr>
        <w:t xml:space="preserve">Midline Survey:</w:t>
      </w:r>
      <w:r>
        <w:t xml:space="preserve"> </w:t>
      </w:r>
      <w:r>
        <w:t xml:space="preserve">Conducted after three months to monitor early adoption of savings behaviors.</w:t>
      </w:r>
    </w:p>
    <w:p>
      <w:pPr>
        <w:numPr>
          <w:ilvl w:val="0"/>
          <w:numId w:val="1003"/>
        </w:numPr>
        <w:pStyle w:val="Compact"/>
      </w:pPr>
      <w:r>
        <w:rPr>
          <w:bCs/>
          <w:b/>
        </w:rPr>
        <w:t xml:space="preserve">Endline Survey:</w:t>
      </w:r>
      <w:r>
        <w:t xml:space="preserve"> </w:t>
      </w:r>
      <w:r>
        <w:t xml:space="preserve">Conducted after six months to measure the long-term impact of the intervention.</w:t>
      </w:r>
    </w:p>
    <w:p>
      <w:pPr>
        <w:pStyle w:val="FirstParagraph"/>
      </w:pPr>
      <w:r>
        <w:t xml:space="preserve">Surveys will be administered by trained enumerators using tablet-based data collection tools. Questions will be translated into Swahili to ensure clarity and comprehension for participants in Tanzania Dar es Salaam. The Economist will oversee the data quality assurance process to minimize measurement error.</w:t>
      </w:r>
    </w:p>
    <w:bookmarkEnd w:id="27"/>
    <w:bookmarkStart w:id="28" w:name="ethical-considerations"/>
    <w:p>
      <w:pPr>
        <w:pStyle w:val="Heading2"/>
      </w:pPr>
      <w:r>
        <w:t xml:space="preserve">5. Ethical Considerations</w:t>
      </w:r>
    </w:p>
    <w:p>
      <w:pPr>
        <w:pStyle w:val="FirstParagraph"/>
      </w:pPr>
      <w:r>
        <w:t xml:space="preserve">Ethical integrity is paramount in this Experiment Protocol. The study has received approval from the relevant ethics review board in Tanzania. Key ethical considerations include:</w:t>
      </w:r>
    </w:p>
    <w:p>
      <w:pPr>
        <w:numPr>
          <w:ilvl w:val="0"/>
          <w:numId w:val="1004"/>
        </w:numPr>
        <w:pStyle w:val="Compact"/>
      </w:pPr>
      <w:r>
        <w:rPr>
          <w:bCs/>
          <w:b/>
        </w:rPr>
        <w:t xml:space="preserve">Informed Consent:</w:t>
      </w:r>
      <w:r>
        <w:t xml:space="preserve"> </w:t>
      </w:r>
      <w:r>
        <w:t xml:space="preserve">All participants must provide written or recorded verbal consent after being fully informed about the study's purpose, procedures, and their right to withdraw at any time.</w:t>
      </w:r>
    </w:p>
    <w:p>
      <w:pPr>
        <w:numPr>
          <w:ilvl w:val="0"/>
          <w:numId w:val="1004"/>
        </w:numPr>
        <w:pStyle w:val="Compact"/>
      </w:pPr>
      <w:r>
        <w:rPr>
          <w:bCs/>
          <w:b/>
        </w:rPr>
        <w:t xml:space="preserve">Confidentiality:</w:t>
      </w:r>
      <w:r>
        <w:t xml:space="preserve"> </w:t>
      </w:r>
      <w:r>
        <w:t xml:space="preserve">All personal and financial data collected will be anonymized and stored securely. Only the research team will have access to identifiable information.</w:t>
      </w:r>
    </w:p>
    <w:p>
      <w:pPr>
        <w:numPr>
          <w:ilvl w:val="0"/>
          <w:numId w:val="1004"/>
        </w:numPr>
        <w:pStyle w:val="Compact"/>
      </w:pPr>
      <w:r>
        <w:rPr>
          <w:bCs/>
          <w:b/>
        </w:rPr>
        <w:t xml:space="preserve">Compensation:</w:t>
      </w:r>
      <w:r>
        <w:t xml:space="preserve"> </w:t>
      </w:r>
      <w:r>
        <w:t xml:space="preserve">Participants will receive a small monetary compensation for their time, ensuring that participation is voluntary and not coerced by financial need.</w:t>
      </w:r>
    </w:p>
    <w:p>
      <w:pPr>
        <w:numPr>
          <w:ilvl w:val="0"/>
          <w:numId w:val="1004"/>
        </w:numPr>
        <w:pStyle w:val="Compact"/>
      </w:pPr>
      <w:r>
        <w:rPr>
          <w:bCs/>
          <w:b/>
        </w:rPr>
        <w:t xml:space="preserve">Do No Harm:</w:t>
      </w:r>
      <w:r>
        <w:t xml:space="preserve"> </w:t>
      </w:r>
      <w:r>
        <w:t xml:space="preserve">The Economist and research team are committed to ensuring that the study does not negatively impact the financial well-being or social standing of participants.</w:t>
      </w:r>
    </w:p>
    <w:bookmarkEnd w:id="28"/>
    <w:bookmarkStart w:id="29" w:name="data-analysis-plan"/>
    <w:p>
      <w:pPr>
        <w:pStyle w:val="Heading2"/>
      </w:pPr>
      <w:r>
        <w:t xml:space="preserve">6. Data Analysis Plan</w:t>
      </w:r>
    </w:p>
    <w:p>
      <w:pPr>
        <w:pStyle w:val="FirstParagraph"/>
      </w:pPr>
      <w:r>
        <w:t xml:space="preserve">The Economist will employ econometric techniques to analyze the data. The primary analysis will involve comparing the mean savings outcomes between the treatment and control groups using difference-in-differences estimation. This method helps control for time-invariant unobserved heterogeneity. Additional analyses will explore heterogeneous treatment effects across different demographic subgroups.</w:t>
      </w:r>
    </w:p>
    <w:bookmarkEnd w:id="29"/>
    <w:bookmarkStart w:id="30" w:name="timeline-and-budget"/>
    <w:p>
      <w:pPr>
        <w:pStyle w:val="Heading2"/>
      </w:pPr>
      <w:r>
        <w:t xml:space="preserve">7. Timeline and Budget</w:t>
      </w:r>
    </w:p>
    <w:p>
      <w:pPr>
        <w:pStyle w:val="FirstParagraph"/>
      </w:pPr>
      <w:r>
        <w:t xml:space="preserve">The project is scheduled to run for eight months. The first two months will be dedicated to preparation and baseline data collection. The intervention will take place over the next four months, followed by two months for endline data collection and analysis. The budget covers personnel costs, participant compensation, data collection tools, and logistical expenses in Tanzania Dar es Salaam.</w:t>
      </w:r>
    </w:p>
    <w:bookmarkEnd w:id="30"/>
    <w:bookmarkStart w:id="31" w:name="conclusion"/>
    <w:p>
      <w:pPr>
        <w:pStyle w:val="Heading2"/>
      </w:pPr>
      <w:r>
        <w:t xml:space="preserve">8. Conclusion</w:t>
      </w:r>
    </w:p>
    <w:p>
      <w:pPr>
        <w:pStyle w:val="FirstParagraph"/>
      </w:pPr>
      <w:r>
        <w:t xml:space="preserve">This Experiment Protocol provides a comprehensive framework for conducting a rigorous behavioral economics study in Tanzania Dar es Salaam. By adhering to this protocol, the Economist aims to produce high-quality evidence that can contribute to the broader understanding of economic behavior in developing contexts. The findings are expected to have practical implications for enhancing financial inclusion and improving economic resilience among households in Dar es Salaam.</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Behavioral Economics in Tanzania Dar es Salaam</dc:title>
  <dc:creator/>
  <dc:language>en</dc:language>
  <cp:keywords/>
  <dcterms:created xsi:type="dcterms:W3CDTF">2026-10-10T08:41:59Z</dcterms:created>
  <dcterms:modified xsi:type="dcterms:W3CDTF">2026-10-10T08:41:59Z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