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Abu</w:t>
      </w:r>
      <w:r>
        <w:t xml:space="preserve"> </w:t>
      </w:r>
      <w:r>
        <w:t xml:space="preserve">Dhabi</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Behavioral Responses to Digital Currency Incentives in Urban Environments</w:t>
      </w:r>
    </w:p>
    <w:p>
      <w:pPr>
        <w:pStyle w:val="BodyText"/>
      </w:pPr>
      <w:r>
        <w:rPr>
          <w:bCs/>
          <w:b/>
        </w:rPr>
        <w:t xml:space="preserve">Principal Investigator:</w:t>
      </w:r>
      <w:r>
        <w:t xml:space="preserve"> </w:t>
      </w:r>
      <w:r>
        <w:t xml:space="preserve">Lead Economist, Department of Economic Research</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s"/>
    <w:p>
      <w:pPr>
        <w:pStyle w:val="Heading2"/>
      </w:pPr>
      <w:r>
        <w:t xml:space="preserve">1. Introduction and Objectives</w:t>
      </w:r>
    </w:p>
    <w:p>
      <w:pPr>
        <w:pStyle w:val="FirstParagraph"/>
      </w:pPr>
      <w:r>
        <w:t xml:space="preserve">This Experiment Protocol outlines the methodology for a field study designed to assess consumer behavior and economic decision-making processes within the United Arab Emirates, specifically in the capital city of Abu Dhabi. The study is conducted by a team of professional Economists to evaluate the efficacy of targeted digital incentives on spending patterns among residents.</w:t>
      </w:r>
    </w:p>
    <w:p>
      <w:pPr>
        <w:pStyle w:val="BodyText"/>
      </w:pPr>
      <w:r>
        <w:t xml:space="preserve">The primary objective is to determine how varying levels of monetary incentives influence purchasing decisions in retail and service sectors. As Abu Dhabi continues to diversify its economy beyond oil, understanding the microeconomic behaviors of its population is crucial for policy formulation. This protocol ensures that the Economist leading the study adheres to rigorous scientific standards while respecting the cultural and regulatory framework of the United Arab Emirates.</w:t>
      </w:r>
    </w:p>
    <w:bookmarkEnd w:id="21"/>
    <w:bookmarkStart w:id="22" w:name="regulatory-compliance-and-ethics"/>
    <w:p>
      <w:pPr>
        <w:pStyle w:val="Heading2"/>
      </w:pPr>
      <w:r>
        <w:t xml:space="preserve">2. Regulatory Compliance and Ethics</w:t>
      </w:r>
    </w:p>
    <w:p>
      <w:pPr>
        <w:pStyle w:val="FirstParagraph"/>
      </w:pPr>
      <w:r>
        <w:t xml:space="preserve">All activities under this protocol must comply with the laws and regulations of the United Arab Emirates. The Economist is responsible for ensuring that the study aligns with the guidelines set forth by the Abu Dhabi Department of Economic Development (DED) and relevant data protection authorities.</w:t>
      </w:r>
    </w:p>
    <w:p>
      <w:pPr>
        <w:pStyle w:val="BodyText"/>
      </w:pPr>
      <w:r>
        <w:rPr>
          <w:bCs/>
          <w:b/>
        </w:rPr>
        <w:t xml:space="preserve">Ethical Considerations:</w:t>
      </w:r>
    </w:p>
    <w:p>
      <w:pPr>
        <w:numPr>
          <w:ilvl w:val="0"/>
          <w:numId w:val="1001"/>
        </w:numPr>
        <w:pStyle w:val="Compact"/>
      </w:pPr>
      <w:r>
        <w:rPr>
          <w:bCs/>
          <w:b/>
        </w:rPr>
        <w:t xml:space="preserve">Informed Consent:</w:t>
      </w:r>
      <w:r>
        <w:t xml:space="preserve"> </w:t>
      </w:r>
      <w:r>
        <w:t xml:space="preserve">All participants must provide explicit informed consent. Consent forms will be available in both English and Arabic to ensure full comprehension.</w:t>
      </w:r>
    </w:p>
    <w:p>
      <w:pPr>
        <w:numPr>
          <w:ilvl w:val="0"/>
          <w:numId w:val="1001"/>
        </w:numPr>
        <w:pStyle w:val="Compact"/>
      </w:pPr>
      <w:r>
        <w:rPr>
          <w:bCs/>
          <w:b/>
        </w:rPr>
        <w:t xml:space="preserve">Data Privacy:</w:t>
      </w:r>
      <w:r>
        <w:t xml:space="preserve"> </w:t>
      </w:r>
      <w:r>
        <w:t xml:space="preserve">Personal data collected will be anonymized and stored securely in compliance with the UAE Data Protection Law.</w:t>
      </w:r>
    </w:p>
    <w:p>
      <w:pPr>
        <w:numPr>
          <w:ilvl w:val="0"/>
          <w:numId w:val="1001"/>
        </w:numPr>
        <w:pStyle w:val="Compact"/>
      </w:pPr>
      <w:r>
        <w:rPr>
          <w:bCs/>
          <w:b/>
        </w:rPr>
        <w:t xml:space="preserve">Cultural Sensitivity:</w:t>
      </w:r>
      <w:r>
        <w:t xml:space="preserve"> </w:t>
      </w:r>
      <w:r>
        <w:t xml:space="preserve">The Economist must ensure that all experimental materials and interactions respect local customs, traditions, and Islamic values prevalent in Abu Dhabi.</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employ a randomized controlled trial (RCT) design. Participants will be randomly assigned to one of three groups:</w:t>
      </w:r>
    </w:p>
    <w:p>
      <w:pPr>
        <w:numPr>
          <w:ilvl w:val="0"/>
          <w:numId w:val="1002"/>
        </w:numPr>
        <w:pStyle w:val="Compact"/>
      </w:pPr>
      <w:r>
        <w:rPr>
          <w:bCs/>
          <w:b/>
        </w:rPr>
        <w:t xml:space="preserve">Control Group:</w:t>
      </w:r>
      <w:r>
        <w:t xml:space="preserve"> </w:t>
      </w:r>
      <w:r>
        <w:t xml:space="preserve">No incentives provided.</w:t>
      </w:r>
    </w:p>
    <w:p>
      <w:pPr>
        <w:numPr>
          <w:ilvl w:val="0"/>
          <w:numId w:val="1002"/>
        </w:numPr>
        <w:pStyle w:val="Compact"/>
      </w:pPr>
      <w:r>
        <w:rPr>
          <w:bCs/>
          <w:b/>
        </w:rPr>
        <w:t xml:space="preserve">Treatment Group A:</w:t>
      </w:r>
      <w:r>
        <w:t xml:space="preserve"> </w:t>
      </w:r>
      <w:r>
        <w:t xml:space="preserve">Small digital voucher incentives.</w:t>
      </w:r>
    </w:p>
    <w:p>
      <w:pPr>
        <w:numPr>
          <w:ilvl w:val="0"/>
          <w:numId w:val="1002"/>
        </w:numPr>
        <w:pStyle w:val="Compact"/>
      </w:pPr>
      <w:r>
        <w:rPr>
          <w:bCs/>
          <w:b/>
        </w:rPr>
        <w:t xml:space="preserve">Treatment Group B:</w:t>
      </w:r>
      <w:r>
        <w:t xml:space="preserve"> </w:t>
      </w:r>
      <w:r>
        <w:t xml:space="preserve">Large digital voucher incentives.</w:t>
      </w:r>
    </w:p>
    <w:p>
      <w:pPr>
        <w:pStyle w:val="FirstParagraph"/>
      </w:pPr>
      <w:r>
        <w:t xml:space="preserve">The Economist will oversee the randomization process to ensure unbiased group allocation.</w:t>
      </w:r>
    </w:p>
    <w:bookmarkEnd w:id="23"/>
    <w:bookmarkStart w:id="24" w:name="participant-selection"/>
    <w:p>
      <w:pPr>
        <w:pStyle w:val="Heading3"/>
      </w:pPr>
      <w:r>
        <w:t xml:space="preserve">3.2 Participant Selection</w:t>
      </w:r>
    </w:p>
    <w:p>
      <w:pPr>
        <w:pStyle w:val="FirstParagraph"/>
      </w:pPr>
      <w:r>
        <w:t xml:space="preserve">Participants will be recruited from various districts in Abu Dhabi, including Al Reem Island, Saadiyat Island, and Khalifa City, to ensure a representative sample of the population. Eligibility criteria include:</w:t>
      </w:r>
    </w:p>
    <w:p>
      <w:pPr>
        <w:numPr>
          <w:ilvl w:val="0"/>
          <w:numId w:val="1003"/>
        </w:numPr>
        <w:pStyle w:val="Compact"/>
      </w:pPr>
      <w:r>
        <w:t xml:space="preserve">Residency in Abu Dhabi for at least six months.</w:t>
      </w:r>
    </w:p>
    <w:p>
      <w:pPr>
        <w:numPr>
          <w:ilvl w:val="0"/>
          <w:numId w:val="1003"/>
        </w:numPr>
        <w:pStyle w:val="Compact"/>
      </w:pPr>
      <w:r>
        <w:t xml:space="preserve">Age 18 years or older.</w:t>
      </w:r>
    </w:p>
    <w:p>
      <w:pPr>
        <w:numPr>
          <w:ilvl w:val="0"/>
          <w:numId w:val="1003"/>
        </w:numPr>
        <w:pStyle w:val="Compact"/>
      </w:pPr>
      <w:r>
        <w:t xml:space="preserve">Active use of digital payment methods.</w:t>
      </w:r>
    </w:p>
    <w:bookmarkEnd w:id="24"/>
    <w:bookmarkStart w:id="25" w:name="data-collection"/>
    <w:p>
      <w:pPr>
        <w:pStyle w:val="Heading3"/>
      </w:pPr>
      <w:r>
        <w:t xml:space="preserve">3.3 Data Collection</w:t>
      </w:r>
    </w:p>
    <w:p>
      <w:pPr>
        <w:pStyle w:val="FirstParagraph"/>
      </w:pPr>
      <w:r>
        <w:t xml:space="preserve">Data will be collected through a combination of digital surveys and transaction records (with participant consent). The Economist will utilize secure platforms to gather information on spending habits, preferences, and responses to incentives.</w:t>
      </w:r>
    </w:p>
    <w:bookmarkEnd w:id="25"/>
    <w:bookmarkEnd w:id="26"/>
    <w:bookmarkStart w:id="27" w:name="roles-and-responsibilities"/>
    <w:p>
      <w:pPr>
        <w:pStyle w:val="Heading2"/>
      </w:pPr>
      <w:r>
        <w:t xml:space="preserve">4. Roles and Responsibilities</w:t>
      </w:r>
    </w:p>
    <w:p>
      <w:pPr>
        <w:pStyle w:val="FirstParagraph"/>
      </w:pPr>
      <w:r>
        <w:rPr>
          <w:bCs/>
          <w:b/>
        </w:rPr>
        <w:t xml:space="preserve">Lead Economist:</w:t>
      </w:r>
    </w:p>
    <w:p>
      <w:pPr>
        <w:numPr>
          <w:ilvl w:val="0"/>
          <w:numId w:val="1004"/>
        </w:numPr>
        <w:pStyle w:val="Compact"/>
      </w:pPr>
      <w:r>
        <w:t xml:space="preserve">Design the experimental framework and ensure methodological rigor.</w:t>
      </w:r>
    </w:p>
    <w:p>
      <w:pPr>
        <w:numPr>
          <w:ilvl w:val="0"/>
          <w:numId w:val="1004"/>
        </w:numPr>
        <w:pStyle w:val="Compact"/>
      </w:pPr>
      <w:r>
        <w:t xml:space="preserve">Oversee data collection and analysis.</w:t>
      </w:r>
    </w:p>
    <w:p>
      <w:pPr>
        <w:numPr>
          <w:ilvl w:val="0"/>
          <w:numId w:val="1004"/>
        </w:numPr>
        <w:pStyle w:val="Compact"/>
      </w:pPr>
      <w:r>
        <w:t xml:space="preserve">Ensure compliance with UAE regulations and ethical standards.</w:t>
      </w:r>
    </w:p>
    <w:p>
      <w:pPr>
        <w:numPr>
          <w:ilvl w:val="0"/>
          <w:numId w:val="1004"/>
        </w:numPr>
        <w:pStyle w:val="Compact"/>
      </w:pPr>
      <w:r>
        <w:t xml:space="preserve">Prepare reports and disseminate findings to stakeholders.</w:t>
      </w:r>
    </w:p>
    <w:p>
      <w:pPr>
        <w:pStyle w:val="FirstParagraph"/>
      </w:pPr>
      <w:r>
        <w:rPr>
          <w:bCs/>
          <w:b/>
        </w:rPr>
        <w:t xml:space="preserve">Research Assistants:</w:t>
      </w:r>
    </w:p>
    <w:p>
      <w:pPr>
        <w:numPr>
          <w:ilvl w:val="0"/>
          <w:numId w:val="1005"/>
        </w:numPr>
        <w:pStyle w:val="Compact"/>
      </w:pPr>
      <w:r>
        <w:t xml:space="preserve">Assist with participant recruitment and data entry.</w:t>
      </w:r>
    </w:p>
    <w:p>
      <w:pPr>
        <w:numPr>
          <w:ilvl w:val="0"/>
          <w:numId w:val="1005"/>
        </w:numPr>
        <w:pStyle w:val="Compact"/>
      </w:pPr>
      <w:r>
        <w:t xml:space="preserve">Monitor the implementation of the experiment in Abu Dhabi.</w:t>
      </w:r>
    </w:p>
    <w:bookmarkEnd w:id="27"/>
    <w:bookmarkStart w:id="28" w:name="timeline"/>
    <w:p>
      <w:pPr>
        <w:pStyle w:val="Heading2"/>
      </w:pPr>
      <w:r>
        <w:t xml:space="preserve">5. Timeline</w:t>
      </w:r>
    </w:p>
    <w:p>
      <w:pPr>
        <w:numPr>
          <w:ilvl w:val="0"/>
          <w:numId w:val="1006"/>
        </w:numPr>
        <w:pStyle w:val="Compact"/>
      </w:pPr>
      <w:r>
        <w:rPr>
          <w:bCs/>
          <w:b/>
        </w:rPr>
        <w:t xml:space="preserve">Month 1:</w:t>
      </w:r>
      <w:r>
        <w:t xml:space="preserve"> </w:t>
      </w:r>
      <w:r>
        <w:t xml:space="preserve">Protocol finalization and regulatory approvals.</w:t>
      </w:r>
    </w:p>
    <w:p>
      <w:pPr>
        <w:numPr>
          <w:ilvl w:val="0"/>
          <w:numId w:val="1006"/>
        </w:numPr>
        <w:pStyle w:val="Compact"/>
      </w:pPr>
      <w:r>
        <w:rPr>
          <w:bCs/>
          <w:b/>
        </w:rPr>
        <w:t xml:space="preserve">Month 2:</w:t>
      </w:r>
      <w:r>
        <w:t xml:space="preserve"> </w:t>
      </w:r>
      <w:r>
        <w:t xml:space="preserve">Participant recruitment and baseline data collection.</w:t>
      </w:r>
    </w:p>
    <w:p>
      <w:pPr>
        <w:numPr>
          <w:ilvl w:val="0"/>
          <w:numId w:val="1006"/>
        </w:numPr>
        <w:pStyle w:val="Compact"/>
      </w:pPr>
      <w:r>
        <w:rPr>
          <w:bCs/>
          <w:b/>
        </w:rPr>
        <w:t xml:space="preserve">Months 3-5:</w:t>
      </w:r>
      <w:r>
        <w:t xml:space="preserve"> </w:t>
      </w:r>
      <w:r>
        <w:t xml:space="preserve">Implementation of the experiment.</w:t>
      </w:r>
    </w:p>
    <w:p>
      <w:pPr>
        <w:numPr>
          <w:ilvl w:val="0"/>
          <w:numId w:val="1006"/>
        </w:numPr>
        <w:pStyle w:val="Compact"/>
      </w:pPr>
      <w:r>
        <w:rPr>
          <w:bCs/>
          <w:b/>
        </w:rPr>
        <w:t xml:space="preserve">Month 6:</w:t>
      </w:r>
      <w:r>
        <w:t xml:space="preserve"> </w:t>
      </w:r>
      <w:r>
        <w:t xml:space="preserve">Data analysis and report preparation.</w:t>
      </w:r>
    </w:p>
    <w:bookmarkEnd w:id="28"/>
    <w:bookmarkStart w:id="29" w:name="risk-management"/>
    <w:p>
      <w:pPr>
        <w:pStyle w:val="Heading2"/>
      </w:pPr>
      <w:r>
        <w:t xml:space="preserve">6. Risk Management</w:t>
      </w:r>
    </w:p>
    <w:p>
      <w:pPr>
        <w:pStyle w:val="FirstParagraph"/>
      </w:pPr>
      <w:r>
        <w:t xml:space="preserve">The Economist must identify and mitigate potential risks, including:</w:t>
      </w:r>
    </w:p>
    <w:p>
      <w:pPr>
        <w:numPr>
          <w:ilvl w:val="0"/>
          <w:numId w:val="1007"/>
        </w:numPr>
        <w:pStyle w:val="Compact"/>
      </w:pPr>
      <w:r>
        <w:rPr>
          <w:bCs/>
          <w:b/>
        </w:rPr>
        <w:t xml:space="preserve">Low Participation Rates:</w:t>
      </w:r>
      <w:r>
        <w:t xml:space="preserve"> </w:t>
      </w:r>
      <w:r>
        <w:t xml:space="preserve">Mitigated by offering incentives and ensuring clear communication.</w:t>
      </w:r>
    </w:p>
    <w:p>
      <w:pPr>
        <w:numPr>
          <w:ilvl w:val="0"/>
          <w:numId w:val="1007"/>
        </w:numPr>
        <w:pStyle w:val="Compact"/>
      </w:pPr>
      <w:r>
        <w:rPr>
          <w:bCs/>
          <w:b/>
        </w:rPr>
        <w:t xml:space="preserve">Data Breaches:</w:t>
      </w:r>
      <w:r>
        <w:t xml:space="preserve"> </w:t>
      </w:r>
      <w:r>
        <w:t xml:space="preserve">Mitigated by using encrypted storage and access controls.</w:t>
      </w:r>
    </w:p>
    <w:p>
      <w:pPr>
        <w:numPr>
          <w:ilvl w:val="0"/>
          <w:numId w:val="1007"/>
        </w:numPr>
        <w:pStyle w:val="Compact"/>
      </w:pPr>
      <w:r>
        <w:rPr>
          <w:bCs/>
          <w:b/>
        </w:rPr>
        <w:t xml:space="preserve">Cultural Misunderstandings:</w:t>
      </w:r>
      <w:r>
        <w:t xml:space="preserve"> </w:t>
      </w:r>
      <w:r>
        <w:t xml:space="preserve">Mitigated by involving local experts and conducting sensitivity reviews.</w:t>
      </w:r>
    </w:p>
    <w:bookmarkEnd w:id="29"/>
    <w:bookmarkStart w:id="30" w:name="conclusion"/>
    <w:p>
      <w:pPr>
        <w:pStyle w:val="Heading2"/>
      </w:pPr>
      <w:r>
        <w:t xml:space="preserve">7. Conclusion</w:t>
      </w:r>
    </w:p>
    <w:p>
      <w:pPr>
        <w:pStyle w:val="FirstParagraph"/>
      </w:pPr>
      <w:r>
        <w:t xml:space="preserve">This Experiment Protocol provides a comprehensive framework for conducting a rigorous and ethical study on economic behavior in Abu Dhabi. By adhering to this protocol, the Economist will contribute valuable insights to the understanding of consumer dynamics in the United Arab Emirates, supporting evidence-based policy and economic development initiatives.</w:t>
      </w:r>
    </w:p>
    <w:bookmarkEnd w:id="30"/>
    <w:p>
      <w:pPr>
        <w:pStyle w:val="BodyText"/>
      </w:pPr>
      <w:r>
        <w:rPr>
          <w:bCs/>
          <w:b/>
        </w:rPr>
        <w:t xml:space="preserve">Note:</w:t>
      </w:r>
      <w:r>
        <w:t xml:space="preserve"> </w:t>
      </w:r>
      <w:r>
        <w:t xml:space="preserve">This document is subject to review and approval by relevant authorities in the United Arab Emirates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Abu Dhabi</dc:title>
  <dc:creator/>
  <dc:language>en</dc:language>
  <cp:keywords/>
  <dcterms:created xsi:type="dcterms:W3CDTF">2026-10-10T05:53:30Z</dcterms:created>
  <dcterms:modified xsi:type="dcterms:W3CDTF">2026-10-10T05:53:30Z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