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Birmingham</w:t>
      </w:r>
    </w:p>
    <w:bookmarkStart w:id="20" w:name="Xb13d2dbfd5fd739135cfc5c748c52bb91aff7da"/>
    <w:p>
      <w:pPr>
        <w:pStyle w:val="Heading1"/>
      </w:pPr>
      <w:r>
        <w:t xml:space="preserve">Experiment Protocol: Behavioral Decision-Making in Urban Economies</w:t>
      </w:r>
    </w:p>
    <w:p>
      <w:pPr>
        <w:pStyle w:val="FirstParagraph"/>
      </w:pPr>
      <w:r>
        <w:t xml:space="preserve">Study Location: United Kingdom Birmingham</w:t>
      </w:r>
    </w:p>
    <w:bookmarkEnd w:id="20"/>
    <w:p>
      <w:pPr>
        <w:pStyle w:val="BodyText"/>
      </w:pPr>
      <w:r>
        <w:rPr>
          <w:bCs/>
          <w:b/>
        </w:rPr>
        <w:t xml:space="preserve">Protocol ID:</w:t>
      </w:r>
      <w:r>
        <w:t xml:space="preserve"> </w:t>
      </w:r>
      <w:r>
        <w:t xml:space="preserve">BE-BHM-2024-001</w:t>
      </w:r>
    </w:p>
    <w:p>
      <w:pPr>
        <w:pStyle w:val="BodyText"/>
      </w:pPr>
      <w:r>
        <w:rPr>
          <w:bCs/>
          <w:b/>
        </w:rPr>
        <w:t xml:space="preserve">Principal Investigator:</w:t>
      </w:r>
      <w:r>
        <w:t xml:space="preserve"> </w:t>
      </w:r>
      <w:r>
        <w:t xml:space="preserve">Lead Economist, Department of Economic Sciences</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investigate the behavioral patterns of consumers and small business owners within the urban economic landscape of Birmingham, United Kingdom. As a major economic hub in the Midlands, Birmingham presents a unique microcosm of diverse demographics, varying income levels, and a rapidly evolving retail environment.</w:t>
      </w:r>
    </w:p>
    <w:p>
      <w:pPr>
        <w:pStyle w:val="BodyText"/>
      </w:pPr>
      <w:r>
        <w:t xml:space="preserve">The primary objective of this study is to test standard economic theories against observed behaviors in real-world settings. Specifically, the Economist leading this research aims to quantify the impact of "nudge" theory on purchasing decisions and price sensitivity among residents in the West Midlands. By moving beyond theoretical models, this protocol seeks to generate empirical data that reflects the actual economic decision-making processes of the Birmingham populace.</w:t>
      </w:r>
    </w:p>
    <w:bookmarkEnd w:id="21"/>
    <w:bookmarkStart w:id="22" w:name="research-objectives"/>
    <w:p>
      <w:pPr>
        <w:pStyle w:val="Heading2"/>
      </w:pPr>
      <w:r>
        <w:t xml:space="preserve">2. Research Objectives</w:t>
      </w:r>
    </w:p>
    <w:p>
      <w:pPr>
        <w:pStyle w:val="FirstParagraph"/>
      </w:pPr>
      <w:r>
        <w:t xml:space="preserve">The study is driven by the following specific objectives:</w:t>
      </w:r>
    </w:p>
    <w:p>
      <w:pPr>
        <w:numPr>
          <w:ilvl w:val="0"/>
          <w:numId w:val="1001"/>
        </w:numPr>
        <w:pStyle w:val="Compact"/>
      </w:pPr>
      <w:r>
        <w:t xml:space="preserve">To analyze the elasticity of demand for essential goods among low-to-middle-income households in Birmingham.</w:t>
      </w:r>
    </w:p>
    <w:p>
      <w:pPr>
        <w:numPr>
          <w:ilvl w:val="0"/>
          <w:numId w:val="1001"/>
        </w:numPr>
        <w:pStyle w:val="Compact"/>
      </w:pPr>
      <w:r>
        <w:t xml:space="preserve">To evaluate the effectiveness of transparent pricing strategies versus psychological pricing in the local retail sector.</w:t>
      </w:r>
    </w:p>
    <w:p>
      <w:pPr>
        <w:numPr>
          <w:ilvl w:val="0"/>
          <w:numId w:val="1001"/>
        </w:numPr>
        <w:pStyle w:val="Compact"/>
      </w:pPr>
      <w:r>
        <w:t xml:space="preserve">To assess how cultural diversity within Birmingham influences risk aversion in financial decision-making.</w:t>
      </w:r>
    </w:p>
    <w:p>
      <w:pPr>
        <w:numPr>
          <w:ilvl w:val="0"/>
          <w:numId w:val="1001"/>
        </w:numPr>
        <w:pStyle w:val="Compact"/>
      </w:pPr>
      <w:r>
        <w:t xml:space="preserve">To provide policy recommendations for local economic development based on behavioral insights.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randomized controlled trials (RCTs) with qualitative interviews. The design ensures that the Economist can isolate specific variables while maintaining ecological validity within the Birmingham context.</w:t>
      </w:r>
    </w:p>
    <w:bookmarkEnd w:id="23"/>
    <w:bookmarkStart w:id="24" w:name="location-and-setting"/>
    <w:p>
      <w:pPr>
        <w:pStyle w:val="Heading3"/>
      </w:pPr>
      <w:r>
        <w:t xml:space="preserve">3.2 Location and Setting</w:t>
      </w:r>
    </w:p>
    <w:p>
      <w:pPr>
        <w:pStyle w:val="FirstParagraph"/>
      </w:pPr>
      <w:r>
        <w:t xml:space="preserve">The fieldwork will be conducted in three distinct zones within Birmingham, United Kingdom:</w:t>
      </w:r>
    </w:p>
    <w:p>
      <w:pPr>
        <w:numPr>
          <w:ilvl w:val="0"/>
          <w:numId w:val="1002"/>
        </w:numPr>
        <w:pStyle w:val="Compact"/>
      </w:pPr>
      <w:r>
        <w:rPr>
          <w:bCs/>
          <w:b/>
        </w:rPr>
        <w:t xml:space="preserve">Bullring and Grand Central:</w:t>
      </w:r>
      <w:r>
        <w:t xml:space="preserve"> </w:t>
      </w:r>
      <w:r>
        <w:t xml:space="preserve">To capture high-income and tourist behavior.</w:t>
      </w:r>
    </w:p>
    <w:p>
      <w:pPr>
        <w:numPr>
          <w:ilvl w:val="0"/>
          <w:numId w:val="1002"/>
        </w:numPr>
        <w:pStyle w:val="Compact"/>
      </w:pPr>
      <w:r>
        <w:rPr>
          <w:bCs/>
          <w:b/>
        </w:rPr>
        <w:t xml:space="preserve">Small Heath:</w:t>
      </w:r>
      <w:r>
        <w:t xml:space="preserve"> </w:t>
      </w:r>
      <w:r>
        <w:t xml:space="preserve">To analyze behavior in a diverse, working-class community.</w:t>
      </w:r>
    </w:p>
    <w:p>
      <w:pPr>
        <w:numPr>
          <w:ilvl w:val="0"/>
          <w:numId w:val="1002"/>
        </w:numPr>
        <w:pStyle w:val="Compact"/>
      </w:pPr>
      <w:r>
        <w:rPr>
          <w:bCs/>
          <w:b/>
        </w:rPr>
        <w:t xml:space="preserve">Jewellery Quarter:</w:t>
      </w:r>
      <w:r>
        <w:t xml:space="preserve"> </w:t>
      </w:r>
      <w:r>
        <w:t xml:space="preserve">To observe behavior in a specialized, heritage economic zone.</w:t>
      </w:r>
    </w:p>
    <w:bookmarkEnd w:id="24"/>
    <w:bookmarkStart w:id="25" w:name="participant-recruitment"/>
    <w:p>
      <w:pPr>
        <w:pStyle w:val="Heading3"/>
      </w:pPr>
      <w:r>
        <w:t xml:space="preserve">3.3 Participant Recruitment</w:t>
      </w:r>
    </w:p>
    <w:p>
      <w:pPr>
        <w:pStyle w:val="FirstParagraph"/>
      </w:pPr>
      <w:r>
        <w:t xml:space="preserve">Participants will be recruited via stratified random sampling to ensure representation across age, gender, and socioeconomic status. A total of 600 participants are required. Recruitment will occur through local community centers, university notice boards, and digital platforms targeting Birmingham residents.</w:t>
      </w:r>
    </w:p>
    <w:bookmarkEnd w:id="25"/>
    <w:bookmarkEnd w:id="26"/>
    <w:bookmarkStart w:id="30" w:name="experimental-procedure"/>
    <w:p>
      <w:pPr>
        <w:pStyle w:val="Heading2"/>
      </w:pPr>
      <w:r>
        <w:t xml:space="preserve">4. Experimental Procedure</w:t>
      </w:r>
    </w:p>
    <w:bookmarkStart w:id="27" w:name="phase-1-the-pricing-perception-test"/>
    <w:p>
      <w:pPr>
        <w:pStyle w:val="Heading3"/>
      </w:pPr>
      <w:r>
        <w:t xml:space="preserve">4.1 Phase 1: The Pricing Perception Test</w:t>
      </w:r>
    </w:p>
    <w:p>
      <w:pPr>
        <w:pStyle w:val="FirstParagraph"/>
      </w:pPr>
      <w:r>
        <w:t xml:space="preserve">Participants will be presented with a series of hypothetical purchasing scenarios involving local goods. The Economist will manipulate price presentation (e.g., £9.99 vs. £10.00) to measure the "left-digit effect." This phase aims to determine if Birmingham consumers exhibit the same cognitive biases observed in global markets.</w:t>
      </w:r>
    </w:p>
    <w:bookmarkEnd w:id="27"/>
    <w:bookmarkStart w:id="28" w:name="phase-2-the-trust-and-cooperation-game"/>
    <w:p>
      <w:pPr>
        <w:pStyle w:val="Heading3"/>
      </w:pPr>
      <w:r>
        <w:t xml:space="preserve">4.2 Phase 2: The Trust and Cooperation Game</w:t>
      </w:r>
    </w:p>
    <w:p>
      <w:pPr>
        <w:pStyle w:val="FirstParagraph"/>
      </w:pPr>
      <w:r>
        <w:t xml:space="preserve">Using a modified Ultimatum Game, participants will engage in anonymous financial exchanges. This phase investigates social preferences and fairness norms. Given Birmingham's multicultural fabric, the Economist will analyze whether cultural background significantly alters the threshold for rejecting unfair offers.</w:t>
      </w:r>
    </w:p>
    <w:bookmarkEnd w:id="28"/>
    <w:bookmarkStart w:id="29" w:name="phase-3-incentive-response-analysis"/>
    <w:p>
      <w:pPr>
        <w:pStyle w:val="Heading3"/>
      </w:pPr>
      <w:r>
        <w:t xml:space="preserve">4.3 Phase 3: Incentive Response Analysis</w:t>
      </w:r>
    </w:p>
    <w:p>
      <w:pPr>
        <w:pStyle w:val="FirstParagraph"/>
      </w:pPr>
      <w:r>
        <w:t xml:space="preserve">Participants will be offered varying levels of financial incentives to complete a complex economic task. This measures the marginal utility of income and the point at which financial motivation outweighs cognitive fatigue.</w:t>
      </w:r>
    </w:p>
    <w:bookmarkEnd w:id="29"/>
    <w:bookmarkEnd w:id="30"/>
    <w:bookmarkStart w:id="31" w:name="data-collection-and-analysis"/>
    <w:p>
      <w:pPr>
        <w:pStyle w:val="Heading2"/>
      </w:pPr>
      <w:r>
        <w:t xml:space="preserve">5. Data Collection and Analysis</w:t>
      </w:r>
    </w:p>
    <w:p>
      <w:pPr>
        <w:pStyle w:val="FirstParagraph"/>
      </w:pPr>
      <w:r>
        <w:t xml:space="preserve">Data will be collected using secure, encrypted digital tablets to ensure GDPR compliance. The Economist will employ advanced econometric modeling to analyze the dataset. Key variables will include reaction time, choice selection, and self-reported confidence levels. Qualitative data from post-experiment interviews will be coded thematically to provide context to the quantitative findings.</w:t>
      </w:r>
    </w:p>
    <w:bookmarkEnd w:id="31"/>
    <w:bookmarkStart w:id="32" w:name="ethical-considerations"/>
    <w:p>
      <w:pPr>
        <w:pStyle w:val="Heading2"/>
      </w:pPr>
      <w:r>
        <w:t xml:space="preserve">6. Ethical Considerations</w:t>
      </w:r>
    </w:p>
    <w:p>
      <w:pPr>
        <w:pStyle w:val="FirstParagraph"/>
      </w:pPr>
      <w:r>
        <w:t xml:space="preserve">This protocol adheres strictly to the ethical guidelines set forth by the British Psychological Society and the University of Birmingham's Research Ethics Committee.</w:t>
      </w:r>
    </w:p>
    <w:p>
      <w:pPr>
        <w:numPr>
          <w:ilvl w:val="0"/>
          <w:numId w:val="1003"/>
        </w:numPr>
        <w:pStyle w:val="Compact"/>
      </w:pPr>
      <w:r>
        <w:rPr>
          <w:bCs/>
          <w:b/>
        </w:rPr>
        <w:t xml:space="preserve">Informed Consent:</w:t>
      </w:r>
      <w:r>
        <w:t xml:space="preserve"> </w:t>
      </w:r>
      <w:r>
        <w:t xml:space="preserve">All participants must sign a consent form detailing the nature of the experiment.</w:t>
      </w:r>
    </w:p>
    <w:p>
      <w:pPr>
        <w:numPr>
          <w:ilvl w:val="0"/>
          <w:numId w:val="1003"/>
        </w:numPr>
        <w:pStyle w:val="Compact"/>
      </w:pPr>
      <w:r>
        <w:rPr>
          <w:bCs/>
          <w:b/>
        </w:rPr>
        <w:t xml:space="preserve">Anonymity:</w:t>
      </w:r>
      <w:r>
        <w:t xml:space="preserve"> </w:t>
      </w:r>
      <w:r>
        <w:t xml:space="preserve">No personally identifiable information will be linked to the experimental data.</w:t>
      </w:r>
    </w:p>
    <w:p>
      <w:pPr>
        <w:numPr>
          <w:ilvl w:val="0"/>
          <w:numId w:val="1003"/>
        </w:numPr>
        <w:pStyle w:val="Compact"/>
      </w:pPr>
      <w:r>
        <w:rPr>
          <w:bCs/>
          <w:b/>
        </w:rPr>
        <w:t xml:space="preserve">Right to Withdraw:</w:t>
      </w:r>
      <w:r>
        <w:t xml:space="preserve"> </w:t>
      </w:r>
      <w:r>
        <w:t xml:space="preserve">Participants may withdraw at any time without penalty.</w:t>
      </w:r>
    </w:p>
    <w:p>
      <w:pPr>
        <w:numPr>
          <w:ilvl w:val="0"/>
          <w:numId w:val="1003"/>
        </w:numPr>
        <w:pStyle w:val="Compact"/>
      </w:pPr>
      <w:r>
        <w:rPr>
          <w:bCs/>
          <w:b/>
        </w:rPr>
        <w:t xml:space="preserve">Debriefing:</w:t>
      </w:r>
      <w:r>
        <w:t xml:space="preserve"> </w:t>
      </w:r>
      <w:r>
        <w:t xml:space="preserve">A full debriefing will be provided to all participants upon completion.</w:t>
      </w:r>
    </w:p>
    <w:bookmarkEnd w:id="32"/>
    <w:bookmarkStart w:id="33" w:name="risk-management"/>
    <w:p>
      <w:pPr>
        <w:pStyle w:val="Heading2"/>
      </w:pPr>
      <w:r>
        <w:t xml:space="preserve">7. Risk Management</w:t>
      </w:r>
    </w:p>
    <w:p>
      <w:pPr>
        <w:pStyle w:val="FirstParagraph"/>
      </w:pPr>
      <w:r>
        <w:t xml:space="preserve">Potential risks include participant discomfort during financial decision-making tasks. To mitigate this, the Economist will ensure that all monetary stakes are low and that psychological support is available if needed. Additionally, data security risks will be managed through end-to-end encryption and secure server storage within the United Kingdom.</w:t>
      </w:r>
    </w:p>
    <w:bookmarkEnd w:id="33"/>
    <w:bookmarkStart w:id="34" w:name="timeline"/>
    <w:p>
      <w:pPr>
        <w:pStyle w:val="Heading2"/>
      </w:pPr>
      <w:r>
        <w:t xml:space="preserve">8. Timeline</w:t>
      </w:r>
    </w:p>
    <w:p>
      <w:pPr>
        <w:numPr>
          <w:ilvl w:val="0"/>
          <w:numId w:val="1004"/>
        </w:numPr>
        <w:pStyle w:val="Compact"/>
      </w:pPr>
      <w:r>
        <w:rPr>
          <w:bCs/>
          <w:b/>
        </w:rPr>
        <w:t xml:space="preserve">Month 1:</w:t>
      </w:r>
      <w:r>
        <w:t xml:space="preserve"> </w:t>
      </w:r>
      <w:r>
        <w:t xml:space="preserve">Ethics approval and recruitment setup.</w:t>
      </w:r>
    </w:p>
    <w:p>
      <w:pPr>
        <w:numPr>
          <w:ilvl w:val="0"/>
          <w:numId w:val="1004"/>
        </w:numPr>
        <w:pStyle w:val="Compact"/>
      </w:pPr>
      <w:r>
        <w:rPr>
          <w:bCs/>
          <w:b/>
        </w:rPr>
        <w:t xml:space="preserve">Month 2-3:</w:t>
      </w:r>
      <w:r>
        <w:t xml:space="preserve"> </w:t>
      </w:r>
      <w:r>
        <w:t xml:space="preserve">Fieldwork execution in Birmingham.</w:t>
      </w:r>
    </w:p>
    <w:p>
      <w:pPr>
        <w:numPr>
          <w:ilvl w:val="0"/>
          <w:numId w:val="1004"/>
        </w:numPr>
        <w:pStyle w:val="Compact"/>
      </w:pPr>
      <w:r>
        <w:rPr>
          <w:bCs/>
          <w:b/>
        </w:rPr>
        <w:t xml:space="preserve">Month 4:</w:t>
      </w:r>
      <w:r>
        <w:t xml:space="preserve"> </w:t>
      </w:r>
      <w:r>
        <w:t xml:space="preserve">Data cleaning and preliminary analysis.</w:t>
      </w:r>
    </w:p>
    <w:p>
      <w:pPr>
        <w:numPr>
          <w:ilvl w:val="0"/>
          <w:numId w:val="1004"/>
        </w:numPr>
        <w:pStyle w:val="Compact"/>
      </w:pPr>
      <w:r>
        <w:rPr>
          <w:bCs/>
          <w:b/>
        </w:rPr>
        <w:t xml:space="preserve">Month 5:</w:t>
      </w:r>
      <w:r>
        <w:t xml:space="preserve"> </w:t>
      </w:r>
      <w:r>
        <w:t xml:space="preserve">Final report generation and dissemination.</w:t>
      </w:r>
    </w:p>
    <w:bookmarkEnd w:id="34"/>
    <w:bookmarkStart w:id="35" w:name="conclusion"/>
    <w:p>
      <w:pPr>
        <w:pStyle w:val="Heading2"/>
      </w:pPr>
      <w:r>
        <w:t xml:space="preserve">9. Conclusion</w:t>
      </w:r>
    </w:p>
    <w:p>
      <w:pPr>
        <w:pStyle w:val="FirstParagraph"/>
      </w:pPr>
      <w:r>
        <w:t xml:space="preserve">This Experiment Protocol provides a robust framework for investigating economic behavior in Birmingham, United Kingdom. By grounding the study in the local context, the Economist aims to produce findings that are not only academically rigorous but also practically applicable to local businesses and policymakers. The insights gained will contribute to a deeper understanding of how urban environments shape economic choices.</w:t>
      </w:r>
    </w:p>
    <w:p>
      <w:pPr>
        <w:pStyle w:val="BodyText"/>
      </w:pPr>
      <w:r>
        <w:t xml:space="preserve">© 2023 Economic Research Group. All rights reserved. Document generated for academic and research purposes.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Birmingham</dc:title>
  <dc:creator/>
  <dc:language>en</dc:language>
  <cp:keywords/>
  <dcterms:created xsi:type="dcterms:W3CDTF">2026-10-10T07:33:55Z</dcterms:created>
  <dcterms:modified xsi:type="dcterms:W3CDTF">2026-10-10T07:33:55Z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