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Responses</w:t>
      </w:r>
      <w:r>
        <w:t xml:space="preserve"> </w:t>
      </w:r>
      <w:r>
        <w:t xml:space="preserve">to</w:t>
      </w:r>
      <w:r>
        <w:t xml:space="preserve"> </w:t>
      </w:r>
      <w:r>
        <w:t xml:space="preserve">Dynamic</w:t>
      </w:r>
      <w:r>
        <w:t xml:space="preserve"> </w:t>
      </w:r>
      <w:r>
        <w:t xml:space="preserve">Pricing</w:t>
      </w:r>
      <w:r>
        <w:t xml:space="preserve"> </w:t>
      </w:r>
      <w:r>
        <w:t xml:space="preserve">in</w:t>
      </w:r>
      <w:r>
        <w:t xml:space="preserve"> </w:t>
      </w:r>
      <w:r>
        <w:t xml:space="preserve">Manchester</w:t>
      </w:r>
    </w:p>
    <w:bookmarkStart w:id="20" w:name="X72c2dc61e0e020d6f14bf0456680962614cdcbf"/>
    <w:p>
      <w:pPr>
        <w:pStyle w:val="Heading1"/>
      </w:pPr>
      <w:r>
        <w:t xml:space="preserve">Experiment Protocol: Behavioral Responses to Dynamic Pricing in Manchester</w:t>
      </w:r>
    </w:p>
    <w:p>
      <w:pPr>
        <w:pStyle w:val="FirstParagraph"/>
      </w:pPr>
      <w:r>
        <w:rPr>
          <w:bCs/>
          <w:b/>
        </w:rPr>
        <w:t xml:space="preserve">Protocol ID:</w:t>
      </w:r>
      <w:r>
        <w:t xml:space="preserve"> </w:t>
      </w:r>
      <w:r>
        <w:t xml:space="preserve">UK-MAN-ECON-2023-042</w:t>
      </w:r>
    </w:p>
    <w:p>
      <w:pPr>
        <w:pStyle w:val="BodyText"/>
      </w:pPr>
      <w:r>
        <w:rPr>
          <w:bCs/>
          <w:b/>
        </w:rPr>
        <w:t xml:space="preserve">Principal Investigator:</w:t>
      </w:r>
      <w:r>
        <w:t xml:space="preserve"> </w:t>
      </w:r>
      <w:r>
        <w:t xml:space="preserve">Senior Economist, Department of Economic Sciences</w:t>
      </w:r>
    </w:p>
    <w:p>
      <w:pPr>
        <w:pStyle w:val="BodyText"/>
      </w:pPr>
      <w:r>
        <w:rPr>
          <w:bCs/>
          <w:b/>
        </w:rPr>
        <w:t xml:space="preserve">Location:</w:t>
      </w:r>
      <w:r>
        <w:t xml:space="preserve"> </w:t>
      </w:r>
      <w:r>
        <w:t xml:space="preserve">Greater Manchester, United Kingdom</w:t>
      </w:r>
    </w:p>
    <w:p>
      <w:pPr>
        <w:pStyle w:val="BodyText"/>
      </w:pPr>
      <w:r>
        <w:rPr>
          <w:bCs/>
          <w:b/>
        </w:rPr>
        <w:t xml:space="preserve">Date of Submission:</w:t>
      </w:r>
      <w:r>
        <w:t xml:space="preserve"> </w:t>
      </w:r>
      <w:r>
        <w:t xml:space="preserve">October 24, 2023</w:t>
      </w:r>
    </w:p>
    <w:p>
      <w:pPr>
        <w:pStyle w:val="BodyText"/>
      </w:pPr>
      <w:r>
        <w:rPr>
          <w:bCs/>
          <w:b/>
        </w:rPr>
        <w:t xml:space="preserve">Status:</w:t>
      </w:r>
      <w:r>
        <w:t xml:space="preserve"> </w:t>
      </w:r>
      <w:r>
        <w:t xml:space="preserve">Pending Ethics Approval</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analyze consumer price sensitivity and purchasing behavior within the urban environment of Manchester, United Kingdom. As an Economist, the primary objective is to test the hypothesis that localized dynamic pricing strategies significantly alter demand elasticity in high-footfall commercial districts compared to static pricing models.</w:t>
      </w:r>
    </w:p>
    <w:p>
      <w:pPr>
        <w:pStyle w:val="BodyText"/>
      </w:pPr>
      <w:r>
        <w:t xml:space="preserve">Manchester represents a unique economic ecosystem within the UK. As a major hub for finance, technology, and culture, it offers a diverse demographic cross-section. The study will focus specifically on the interaction between price fluctuations and consumer decision-making processes in the retail and hospitality sectors. By isolating variables within this specific geographic context, we aim to provide empirical data that challenges or supports existing economic theories regarding rational choice theory in real-world settings.</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quantify the immediate impact of algorithmic price adjustments on sales volume in Manchester city center.</w:t>
      </w:r>
    </w:p>
    <w:p>
      <w:pPr>
        <w:numPr>
          <w:ilvl w:val="0"/>
          <w:numId w:val="1001"/>
        </w:numPr>
        <w:pStyle w:val="Compact"/>
      </w:pPr>
      <w:r>
        <w:t xml:space="preserve">To determine if consumer trust in local businesses is affected by perceived price volatility.</w:t>
      </w:r>
    </w:p>
    <w:p>
      <w:pPr>
        <w:numPr>
          <w:ilvl w:val="0"/>
          <w:numId w:val="1001"/>
        </w:numPr>
        <w:pStyle w:val="Compact"/>
      </w:pPr>
      <w:r>
        <w:t xml:space="preserve">To analyze demographic variances in price sensitivity across different neighborhoods in Greater Manchester.</w:t>
      </w:r>
    </w:p>
    <w:p>
      <w:pPr>
        <w:numPr>
          <w:ilvl w:val="0"/>
          <w:numId w:val="1001"/>
        </w:numPr>
        <w:pStyle w:val="Compact"/>
      </w:pPr>
      <w:r>
        <w:t xml:space="preserve">To provide actionable economic insights for local policymakers and business owners regarding fair pricing practices.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We will partner with a selection of independent retailers and cafes located in three distinct zones of Manchester: the Northern Quarter (trend-focused), Deansgate (business-focused), and Ancoats (residential/mixed-use).</w:t>
      </w:r>
    </w:p>
    <w:p>
      <w:pPr>
        <w:pStyle w:val="BodyText"/>
      </w:pPr>
      <w:r>
        <w:t xml:space="preserve">The Economist leading this protocol will oversee the implementation of a dynamic pricing algorithm. This algorithm will adjust prices of selected goods (e.g., coffee, artisanal bread, and merchandise) based on real-time foot traffic data and time of day.</w:t>
      </w:r>
    </w:p>
    <w:bookmarkEnd w:id="23"/>
    <w:bookmarkStart w:id="24" w:name="experimental-groups"/>
    <w:p>
      <w:pPr>
        <w:pStyle w:val="Heading3"/>
      </w:pPr>
      <w:r>
        <w:t xml:space="preserve">3.2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Pricing Strategy</w:t>
            </w:r>
          </w:p>
        </w:tc>
      </w:tr>
      <w:tr>
        <w:tc>
          <w:tcPr/>
          <w:p>
            <w:pPr>
              <w:pStyle w:val="Compact"/>
              <w:jc w:val="left"/>
            </w:pPr>
            <w:r>
              <w:t xml:space="preserve">Control Group</w:t>
            </w:r>
          </w:p>
        </w:tc>
        <w:tc>
          <w:tcPr/>
          <w:p>
            <w:pPr>
              <w:pStyle w:val="Compact"/>
              <w:jc w:val="left"/>
            </w:pPr>
            <w:r>
              <w:t xml:space="preserve">10 Selected Venues</w:t>
            </w:r>
          </w:p>
        </w:tc>
        <w:tc>
          <w:tcPr/>
          <w:p>
            <w:pPr>
              <w:pStyle w:val="Compact"/>
              <w:jc w:val="left"/>
            </w:pPr>
            <w:r>
              <w:t xml:space="preserve">Fixed prices throughout the day.</w:t>
            </w:r>
          </w:p>
        </w:tc>
      </w:tr>
      <w:tr>
        <w:tc>
          <w:tcPr/>
          <w:p>
            <w:pPr>
              <w:pStyle w:val="Compact"/>
              <w:jc w:val="left"/>
            </w:pPr>
            <w:r>
              <w:t xml:space="preserve">Treatment Group A</w:t>
            </w:r>
          </w:p>
        </w:tc>
        <w:tc>
          <w:tcPr/>
          <w:p>
            <w:pPr>
              <w:pStyle w:val="Compact"/>
              <w:jc w:val="left"/>
            </w:pPr>
            <w:r>
              <w:t xml:space="preserve">10 Selected Venues</w:t>
            </w:r>
          </w:p>
        </w:tc>
        <w:tc>
          <w:tcPr/>
          <w:p>
            <w:pPr>
              <w:pStyle w:val="Compact"/>
              <w:jc w:val="left"/>
            </w:pPr>
            <w:r>
              <w:t xml:space="preserve">Dynamic pricing: Prices increase by 10-15% during peak hours.</w:t>
            </w:r>
          </w:p>
        </w:tc>
      </w:tr>
      <w:tr>
        <w:tc>
          <w:tcPr/>
          <w:p>
            <w:pPr>
              <w:pStyle w:val="Compact"/>
              <w:jc w:val="left"/>
            </w:pPr>
            <w:r>
              <w:t xml:space="preserve">Treatment Group B</w:t>
            </w:r>
          </w:p>
        </w:tc>
        <w:tc>
          <w:tcPr/>
          <w:p>
            <w:pPr>
              <w:pStyle w:val="Compact"/>
              <w:jc w:val="left"/>
            </w:pPr>
            <w:r>
              <w:t xml:space="preserve">10 Selected Venues</w:t>
            </w:r>
          </w:p>
        </w:tc>
        <w:tc>
          <w:tcPr/>
          <w:p>
            <w:pPr>
              <w:pStyle w:val="Compact"/>
              <w:jc w:val="left"/>
            </w:pPr>
            <w:r>
              <w:t xml:space="preserve">Dynamic pricing: Prices decrease by 10-15% during off-peak hours.</w:t>
            </w:r>
          </w:p>
        </w:tc>
      </w:tr>
    </w:tbl>
    <w:bookmarkEnd w:id="24"/>
    <w:bookmarkStart w:id="25" w:name="data-collection"/>
    <w:p>
      <w:pPr>
        <w:pStyle w:val="Heading3"/>
      </w:pPr>
      <w:r>
        <w:t xml:space="preserve">3.3 Data Collection</w:t>
      </w:r>
    </w:p>
    <w:p>
      <w:pPr>
        <w:pStyle w:val="FirstParagraph"/>
      </w:pPr>
      <w:r>
        <w:t xml:space="preserve">Data will be collected over a period of twelve weeks. The Economist will aggregate data from point-of-sale (POS) systems, anonymized footfall counters, and post-purchase surveys. The surveys will be conducted digitally via QR codes at the point of sale to minimize intrusion.</w:t>
      </w:r>
    </w:p>
    <w:p>
      <w:pPr>
        <w:pStyle w:val="BodyText"/>
      </w:pPr>
      <w:r>
        <w:t xml:space="preserve">Key metrics include:</w:t>
      </w:r>
    </w:p>
    <w:p>
      <w:pPr>
        <w:numPr>
          <w:ilvl w:val="0"/>
          <w:numId w:val="1002"/>
        </w:numPr>
        <w:pStyle w:val="Compact"/>
      </w:pPr>
      <w:r>
        <w:t xml:space="preserve">Total revenue per venue.</w:t>
      </w:r>
    </w:p>
    <w:p>
      <w:pPr>
        <w:numPr>
          <w:ilvl w:val="0"/>
          <w:numId w:val="1002"/>
        </w:numPr>
        <w:pStyle w:val="Compact"/>
      </w:pPr>
      <w:r>
        <w:t xml:space="preserve">Transaction volume.</w:t>
      </w:r>
    </w:p>
    <w:p>
      <w:pPr>
        <w:numPr>
          <w:ilvl w:val="0"/>
          <w:numId w:val="1002"/>
        </w:numPr>
        <w:pStyle w:val="Compact"/>
      </w:pPr>
      <w:r>
        <w:t xml:space="preserve">Average basket size.</w:t>
      </w:r>
    </w:p>
    <w:p>
      <w:pPr>
        <w:numPr>
          <w:ilvl w:val="0"/>
          <w:numId w:val="1002"/>
        </w:numPr>
        <w:pStyle w:val="Compact"/>
      </w:pPr>
      <w:r>
        <w:t xml:space="preserve">Customer satisfaction scores.</w:t>
      </w:r>
    </w:p>
    <w:p>
      <w:pPr>
        <w:numPr>
          <w:ilvl w:val="0"/>
          <w:numId w:val="1002"/>
        </w:numPr>
        <w:pStyle w:val="Compact"/>
      </w:pPr>
      <w:r>
        <w:t xml:space="preserve">Perception of fairness regarding pricing.</w:t>
      </w:r>
    </w:p>
    <w:bookmarkEnd w:id="25"/>
    <w:bookmarkEnd w:id="26"/>
    <w:bookmarkStart w:id="27" w:name="ethical-considerations"/>
    <w:p>
      <w:pPr>
        <w:pStyle w:val="Heading2"/>
      </w:pPr>
      <w:r>
        <w:t xml:space="preserve">4. Ethical Considerations</w:t>
      </w:r>
    </w:p>
    <w:p>
      <w:pPr>
        <w:pStyle w:val="FirstParagraph"/>
      </w:pPr>
      <w:r>
        <w:t xml:space="preserve">Adherence to the General Data Protection Regulation (GDPR) is paramount. All personal data collected from participants in Manchester will be anonymized immediately upon collection. No individual consumer will be identifiable in the final economic analysis.</w:t>
      </w:r>
    </w:p>
    <w:p>
      <w:pPr>
        <w:pStyle w:val="BodyText"/>
      </w:pPr>
      <w:r>
        <w:t xml:space="preserve">Informed consent will be obtained through clear signage at participating venues indicating that a pricing study is underway. Participants will have the option to opt-out of the survey component without affecting their ability to purchase goods. The protocol has been designed to ensure that price changes remain within reasonable market bounds to avoid exploitation or consumer harm.</w:t>
      </w:r>
    </w:p>
    <w:bookmarkEnd w:id="27"/>
    <w:bookmarkStart w:id="28" w:name="risk-management"/>
    <w:p>
      <w:pPr>
        <w:pStyle w:val="Heading2"/>
      </w:pPr>
      <w:r>
        <w:t xml:space="preserve">5. Risk Management</w:t>
      </w:r>
    </w:p>
    <w:p>
      <w:pPr>
        <w:pStyle w:val="FirstParagraph"/>
      </w:pPr>
      <w:r>
        <w:t xml:space="preserve">Potential risks include negative public perception of dynamic pricing and potential backlash from local consumer advocacy groups. To mitigate this, the Economist will maintain transparent communication with stakeholders. If significant consumer distress is identified during the pilot phase, the protocol includes a "circuit breaker" mechanism to revert all prices to standard levels immediately.</w:t>
      </w:r>
    </w:p>
    <w:bookmarkEnd w:id="28"/>
    <w:bookmarkStart w:id="29" w:name="timeline"/>
    <w:p>
      <w:pPr>
        <w:pStyle w:val="Heading2"/>
      </w:pPr>
      <w:r>
        <w:t xml:space="preserve">6. Timeline</w:t>
      </w:r>
    </w:p>
    <w:p>
      <w:pPr>
        <w:numPr>
          <w:ilvl w:val="0"/>
          <w:numId w:val="1003"/>
        </w:numPr>
        <w:pStyle w:val="Compact"/>
      </w:pPr>
      <w:r>
        <w:rPr>
          <w:bCs/>
          <w:b/>
        </w:rPr>
        <w:t xml:space="preserve">Weeks 1-2:</w:t>
      </w:r>
      <w:r>
        <w:t xml:space="preserve"> </w:t>
      </w:r>
      <w:r>
        <w:t xml:space="preserve">Recruitment of partner venues in Manchester and ethics approval.</w:t>
      </w:r>
    </w:p>
    <w:p>
      <w:pPr>
        <w:numPr>
          <w:ilvl w:val="0"/>
          <w:numId w:val="1003"/>
        </w:numPr>
        <w:pStyle w:val="Compact"/>
      </w:pPr>
      <w:r>
        <w:rPr>
          <w:bCs/>
          <w:b/>
        </w:rPr>
        <w:t xml:space="preserve">Weeks 3-4:</w:t>
      </w:r>
      <w:r>
        <w:t xml:space="preserve"> </w:t>
      </w:r>
      <w:r>
        <w:t xml:space="preserve">Installation of tracking software and baseline data collection.</w:t>
      </w:r>
    </w:p>
    <w:p>
      <w:pPr>
        <w:numPr>
          <w:ilvl w:val="0"/>
          <w:numId w:val="1003"/>
        </w:numPr>
        <w:pStyle w:val="Compact"/>
      </w:pPr>
      <w:r>
        <w:rPr>
          <w:bCs/>
          <w:b/>
        </w:rPr>
        <w:t xml:space="preserve">Weeks 5-16:</w:t>
      </w:r>
      <w:r>
        <w:t xml:space="preserve"> </w:t>
      </w:r>
      <w:r>
        <w:t xml:space="preserve">Active experimentation phase.</w:t>
      </w:r>
    </w:p>
    <w:p>
      <w:pPr>
        <w:numPr>
          <w:ilvl w:val="0"/>
          <w:numId w:val="1003"/>
        </w:numPr>
        <w:pStyle w:val="Compact"/>
      </w:pPr>
      <w:r>
        <w:rPr>
          <w:bCs/>
          <w:b/>
        </w:rPr>
        <w:t xml:space="preserve">Weeks 17-18:</w:t>
      </w:r>
      <w:r>
        <w:t xml:space="preserve"> </w:t>
      </w:r>
      <w:r>
        <w:t xml:space="preserve">Data cleaning and preliminary analysis.</w:t>
      </w:r>
    </w:p>
    <w:p>
      <w:pPr>
        <w:numPr>
          <w:ilvl w:val="0"/>
          <w:numId w:val="1003"/>
        </w:numPr>
        <w:pStyle w:val="Compact"/>
      </w:pPr>
      <w:r>
        <w:rPr>
          <w:bCs/>
          <w:b/>
        </w:rPr>
        <w:t xml:space="preserve">Weeks 19-20:</w:t>
      </w:r>
      <w:r>
        <w:t xml:space="preserve"> </w:t>
      </w:r>
      <w:r>
        <w:t xml:space="preserve">Final report generation and dissemination to stakeholders.</w:t>
      </w:r>
    </w:p>
    <w:bookmarkEnd w:id="29"/>
    <w:bookmarkStart w:id="30" w:name="conclusion"/>
    <w:p>
      <w:pPr>
        <w:pStyle w:val="Heading2"/>
      </w:pPr>
      <w:r>
        <w:t xml:space="preserve">7. Conclusion</w:t>
      </w:r>
    </w:p>
    <w:p>
      <w:pPr>
        <w:pStyle w:val="FirstParagraph"/>
      </w:pPr>
      <w:r>
        <w:t xml:space="preserve">This Experiment Protocol provides a rigorous framework for investigating the economic behaviors of consumers in Manchester. By applying the analytical rigor expected of a professional Economist, this study aims to contribute valuable knowledge to the understanding of urban market dynamics in the United Kingdom. The findings will not only advance academic theory but also offer practical guidance for sustainable business practices in one of the UK's most vibrant cities.</w:t>
      </w:r>
    </w:p>
    <w:bookmarkEnd w:id="30"/>
    <w:p>
      <w:pPr>
        <w:pStyle w:val="BodyText"/>
      </w:pPr>
      <w:r>
        <w:t xml:space="preserve">© 2023 Economic Research Initiative. All rights reserved. Document prepared for internal review and ethical committee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Responses to Dynamic Pricing in Manchester</dc:title>
  <dc:creator/>
  <dc:language>en</dc:language>
  <cp:keywords/>
  <dcterms:created xsi:type="dcterms:W3CDTF">2026-10-10T07:01:49Z</dcterms:created>
  <dcterms:modified xsi:type="dcterms:W3CDTF">2026-10-10T07:01:49Z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