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Spatial Pricing Dynamics and Consumer Behavior in High-Density Urban Environments</w:t>
      </w:r>
    </w:p>
    <w:p>
      <w:pPr>
        <w:pStyle w:val="BodyText"/>
      </w:pPr>
      <w:r>
        <w:rPr>
          <w:bCs/>
          <w:b/>
        </w:rPr>
        <w:t xml:space="preserve">Principal Investigator:</w:t>
      </w:r>
      <w:r>
        <w:t xml:space="preserve"> </w:t>
      </w:r>
      <w:r>
        <w:t xml:space="preserve">Lead Economist, Department of Urban Economics</w:t>
      </w:r>
    </w:p>
    <w:p>
      <w:pPr>
        <w:pStyle w:val="BodyText"/>
      </w:pPr>
      <w:r>
        <w:rPr>
          <w:bCs/>
          <w:b/>
        </w:rPr>
        <w:t xml:space="preserve">Location:</w:t>
      </w:r>
      <w:r>
        <w:t xml:space="preserve"> </w:t>
      </w:r>
      <w:r>
        <w:t xml:space="preserve">United States Miami (Downtown, Brickell, and South Beach Districts)</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a field study conducted by a team of professional Economists in the United States Miami metropolitan area. The primary objective is to analyze the elasticity of demand for essential goods and services across distinct socioeconomic zones within Miami. Specifically, this study aims to quantify how geographic proximity to high-traffic tourist areas versus residential hubs influences pricing strategies and consumer purchasing decisions.</w:t>
      </w:r>
    </w:p>
    <w:p>
      <w:pPr>
        <w:pStyle w:val="BodyText"/>
      </w:pPr>
      <w:r>
        <w:t xml:space="preserve">As Miami continues to experience rapid population growth and gentrification, understanding the microeconomic interactions between local vendors and diverse consumer demographics is critical. This protocol ensures that the Economist leading the study adheres to rigorous scientific standards, maintaining data integrity and ethical compliance throughout the research process.</w:t>
      </w:r>
    </w:p>
    <w:p>
      <w:pPr>
        <w:pStyle w:val="BodyText"/>
      </w:pPr>
      <w:r>
        <w:t xml:space="preserve">2. Scope and Study Area</w:t>
      </w:r>
    </w:p>
    <w:p>
      <w:pPr>
        <w:pStyle w:val="BodyText"/>
      </w:pPr>
      <w:r>
        <w:t xml:space="preserve">The study is strictly confined to the United States Miami region. The selection of Miami is deliberate due to its unique economic landscape, characterized by a blend of international tourism, a robust financial sector, and significant income inequality. The experiment will be conducted in three specific zones:</w:t>
      </w:r>
    </w:p>
    <w:p>
      <w:pPr>
        <w:numPr>
          <w:ilvl w:val="0"/>
          <w:numId w:val="1001"/>
        </w:numPr>
        <w:pStyle w:val="Compact"/>
      </w:pPr>
      <w:r>
        <w:rPr>
          <w:bCs/>
          <w:b/>
        </w:rPr>
        <w:t xml:space="preserve">Zone A (Brickell):</w:t>
      </w:r>
      <w:r>
        <w:t xml:space="preserve"> </w:t>
      </w:r>
      <w:r>
        <w:t xml:space="preserve">Represents the high-income financial district with high disposable income.</w:t>
      </w:r>
    </w:p>
    <w:p>
      <w:pPr>
        <w:numPr>
          <w:ilvl w:val="0"/>
          <w:numId w:val="1001"/>
        </w:numPr>
        <w:pStyle w:val="Compact"/>
      </w:pPr>
      <w:r>
        <w:rPr>
          <w:bCs/>
          <w:b/>
        </w:rPr>
        <w:t xml:space="preserve">Zone B (South Beach):</w:t>
      </w:r>
      <w:r>
        <w:t xml:space="preserve"> </w:t>
      </w:r>
      <w:r>
        <w:t xml:space="preserve">Represents the tourist-heavy sector with transient consumers and inflated pricing.</w:t>
      </w:r>
    </w:p>
    <w:p>
      <w:pPr>
        <w:numPr>
          <w:ilvl w:val="0"/>
          <w:numId w:val="1001"/>
        </w:numPr>
        <w:pStyle w:val="Compact"/>
      </w:pPr>
      <w:r>
        <w:rPr>
          <w:bCs/>
          <w:b/>
        </w:rPr>
        <w:t xml:space="preserve">Zone C (Little Havana):</w:t>
      </w:r>
      <w:r>
        <w:t xml:space="preserve"> </w:t>
      </w:r>
      <w:r>
        <w:t xml:space="preserve">Represents a traditional residential area with established local pricing norms.</w:t>
      </w:r>
    </w:p>
    <w:p>
      <w:pPr>
        <w:pStyle w:val="FirstParagraph"/>
      </w:pPr>
      <w:r>
        <w:t xml:space="preserve">The Economist must ensure that data collection methods are culturally sensitive and appropriate for the specific demographics of each zone within the United States Miami area.</w:t>
      </w:r>
    </w:p>
    <w:p>
      <w:pPr>
        <w:pStyle w:val="BodyText"/>
      </w:pPr>
      <w:r>
        <w:t xml:space="preserve">3. Methodology</w:t>
      </w:r>
    </w:p>
    <w:p>
      <w:pPr>
        <w:pStyle w:val="BodyText"/>
      </w:pPr>
      <w:r>
        <w:t xml:space="preserve">The experiment will utilize a mixed-methods approach combining observational data collection and controlled field experiments. The Economist will oversee the deployment of trained research assistants to gather primary data.</w:t>
      </w:r>
    </w:p>
    <w:bookmarkStart w:id="21" w:name="price-auditing"/>
    <w:p>
      <w:pPr>
        <w:pStyle w:val="Heading3"/>
      </w:pPr>
      <w:r>
        <w:t xml:space="preserve">3.1. Price Auditing</w:t>
      </w:r>
    </w:p>
    <w:p>
      <w:pPr>
        <w:pStyle w:val="FirstParagraph"/>
      </w:pPr>
      <w:r>
        <w:t xml:space="preserve">Researchers will conduct systematic price audits of a standardized basket of goods (e.g., bottled water, coffee, basic groceries) across 50 randomly selected retail outlets in each of the three zones. This data will establish a baseline for spatial price discrimination.</w:t>
      </w:r>
    </w:p>
    <w:bookmarkEnd w:id="21"/>
    <w:bookmarkStart w:id="22" w:name="consumer-surveys"/>
    <w:p>
      <w:pPr>
        <w:pStyle w:val="Heading3"/>
      </w:pPr>
      <w:r>
        <w:t xml:space="preserve">3.2. Consumer Surveys</w:t>
      </w:r>
    </w:p>
    <w:p>
      <w:pPr>
        <w:pStyle w:val="FirstParagraph"/>
      </w:pPr>
      <w:r>
        <w:t xml:space="preserve">Structured surveys will be administered to 300 participants in total (100 per zone). The survey instrument has been designed by the Economist to minimize bias and will inquire about income levels, frequency of purchase, and price sensitivity.</w:t>
      </w:r>
    </w:p>
    <w:bookmarkEnd w:id="22"/>
    <w:bookmarkStart w:id="23" w:name="behavioral-nudges"/>
    <w:p>
      <w:pPr>
        <w:pStyle w:val="Heading3"/>
      </w:pPr>
      <w:r>
        <w:t xml:space="preserve">3.3. Behavioral Nudges</w:t>
      </w:r>
    </w:p>
    <w:p>
      <w:pPr>
        <w:pStyle w:val="FirstParagraph"/>
      </w:pPr>
      <w:r>
        <w:t xml:space="preserve">In a controlled subset of the experiment, the Economist will test the efficacy of "price anchoring" in local markets. This involves presenting consumers with different price reference points to observe changes in willingness to pay.</w:t>
      </w:r>
    </w:p>
    <w:bookmarkEnd w:id="23"/>
    <w:p>
      <w:pPr>
        <w:pStyle w:val="BodyText"/>
      </w:pPr>
      <w:r>
        <w:t xml:space="preserve">4. Roles and Responsibilities</w:t>
      </w:r>
    </w:p>
    <w:p>
      <w:pPr>
        <w:pStyle w:val="BodyText"/>
      </w:pPr>
      <w:r>
        <w:t xml:space="preserve">The Lead Economist is responsible for the overall design, execution, and analysis of the experiment. Specific duties include:</w:t>
      </w:r>
    </w:p>
    <w:p>
      <w:pPr>
        <w:numPr>
          <w:ilvl w:val="0"/>
          <w:numId w:val="1002"/>
        </w:numPr>
        <w:pStyle w:val="Compact"/>
      </w:pPr>
      <w:r>
        <w:t xml:space="preserve">Designing the statistical models to analyze price elasticity.</w:t>
      </w:r>
    </w:p>
    <w:p>
      <w:pPr>
        <w:numPr>
          <w:ilvl w:val="0"/>
          <w:numId w:val="1002"/>
        </w:numPr>
        <w:pStyle w:val="Compact"/>
      </w:pPr>
      <w:r>
        <w:t xml:space="preserve">Training research assistants on data collection protocols specific to the United States Miami environment.</w:t>
      </w:r>
    </w:p>
    <w:p>
      <w:pPr>
        <w:numPr>
          <w:ilvl w:val="0"/>
          <w:numId w:val="1002"/>
        </w:numPr>
        <w:pStyle w:val="Compact"/>
      </w:pPr>
      <w:r>
        <w:t xml:space="preserve">Ensuring compliance with local business regulations and ethical guidelines.</w:t>
      </w:r>
    </w:p>
    <w:p>
      <w:pPr>
        <w:numPr>
          <w:ilvl w:val="0"/>
          <w:numId w:val="1002"/>
        </w:numPr>
        <w:pStyle w:val="Compact"/>
      </w:pPr>
      <w:r>
        <w:t xml:space="preserve">Interpreting the data to provide actionable economic insights regarding urban development and market regulation.</w:t>
      </w:r>
    </w:p>
    <w:p>
      <w:pPr>
        <w:pStyle w:val="FirstParagraph"/>
      </w:pPr>
      <w:r>
        <w:t xml:space="preserve">5. Ethical Considerations</w:t>
      </w:r>
    </w:p>
    <w:p>
      <w:pPr>
        <w:pStyle w:val="BodyText"/>
      </w:pPr>
      <w:r>
        <w:t xml:space="preserve">This Experiment Protocol prioritizes the ethical treatment of all participants. The study has been reviewed and approved by the Institutional Review Board (IRB).</w:t>
      </w:r>
    </w:p>
    <w:p>
      <w:pPr>
        <w:numPr>
          <w:ilvl w:val="0"/>
          <w:numId w:val="1003"/>
        </w:numPr>
        <w:pStyle w:val="Compact"/>
      </w:pPr>
      <w:r>
        <w:rPr>
          <w:bCs/>
          <w:b/>
        </w:rPr>
        <w:t xml:space="preserve">Informed Consent:</w:t>
      </w:r>
      <w:r>
        <w:t xml:space="preserve"> </w:t>
      </w:r>
      <w:r>
        <w:t xml:space="preserve">All participants in the United States Miami study area must provide informed consent before participating in surveys or behavioral tests.</w:t>
      </w:r>
    </w:p>
    <w:p>
      <w:pPr>
        <w:numPr>
          <w:ilvl w:val="0"/>
          <w:numId w:val="1003"/>
        </w:numPr>
        <w:pStyle w:val="Compact"/>
      </w:pPr>
      <w:r>
        <w:rPr>
          <w:bCs/>
          <w:b/>
        </w:rPr>
        <w:t xml:space="preserve">Privacy:</w:t>
      </w:r>
      <w:r>
        <w:t xml:space="preserve"> </w:t>
      </w:r>
      <w:r>
        <w:t xml:space="preserve">Personal data collected will be anonymized and stored securely in accordance with federal and state privacy laws.</w:t>
      </w:r>
    </w:p>
    <w:p>
      <w:pPr>
        <w:numPr>
          <w:ilvl w:val="0"/>
          <w:numId w:val="1003"/>
        </w:numPr>
        <w:pStyle w:val="Compact"/>
      </w:pPr>
      <w:r>
        <w:rPr>
          <w:bCs/>
          <w:b/>
        </w:rPr>
        <w:t xml:space="preserve">Non-Interference:</w:t>
      </w:r>
      <w:r>
        <w:t xml:space="preserve"> </w:t>
      </w:r>
      <w:r>
        <w:t xml:space="preserve">The Economist must ensure that the experiment does not disrupt local business operations or cause distress to participants.</w:t>
      </w:r>
    </w:p>
    <w:p>
      <w:pPr>
        <w:pStyle w:val="FirstParagraph"/>
      </w:pPr>
      <w:r>
        <w:t xml:space="preserve">6. Data Analysis and Reporting</w:t>
      </w:r>
    </w:p>
    <w:p>
      <w:pPr>
        <w:pStyle w:val="BodyText"/>
      </w:pPr>
      <w:r>
        <w:t xml:space="preserve">Upon completion of data collection, the Economist will perform a comprehensive statistical analysis. The analysis will focus on identifying significant price differentials between the three zones and correlating these with demographic data. The final report will include:</w:t>
      </w:r>
    </w:p>
    <w:p>
      <w:pPr>
        <w:numPr>
          <w:ilvl w:val="0"/>
          <w:numId w:val="1004"/>
        </w:numPr>
        <w:pStyle w:val="Compact"/>
      </w:pPr>
      <w:r>
        <w:t xml:space="preserve">A detailed breakdown of price variations across United States Miami districts.</w:t>
      </w:r>
    </w:p>
    <w:p>
      <w:pPr>
        <w:numPr>
          <w:ilvl w:val="0"/>
          <w:numId w:val="1004"/>
        </w:numPr>
        <w:pStyle w:val="Compact"/>
      </w:pPr>
      <w:r>
        <w:t xml:space="preserve">Insights into consumer behavior patterns in high-density urban settings.</w:t>
      </w:r>
    </w:p>
    <w:p>
      <w:pPr>
        <w:numPr>
          <w:ilvl w:val="0"/>
          <w:numId w:val="1004"/>
        </w:numPr>
        <w:pStyle w:val="Compact"/>
      </w:pPr>
      <w:r>
        <w:t xml:space="preserve">Policy recommendations for local government regarding fair pricing and consumer protection.</w:t>
      </w:r>
    </w:p>
    <w:p>
      <w:pPr>
        <w:pStyle w:val="FirstParagraph"/>
      </w:pPr>
      <w:r>
        <w:t xml:space="preserve">7. Timeline</w:t>
      </w:r>
    </w:p>
    <w:p>
      <w:pPr>
        <w:pStyle w:val="BodyText"/>
      </w:pPr>
      <w:r>
        <w:t xml:space="preserve">The experiment is scheduled to run for a period of six weeks:</w:t>
      </w:r>
    </w:p>
    <w:p>
      <w:pPr>
        <w:numPr>
          <w:ilvl w:val="0"/>
          <w:numId w:val="1005"/>
        </w:numPr>
        <w:pStyle w:val="Compact"/>
      </w:pPr>
      <w:r>
        <w:rPr>
          <w:bCs/>
          <w:b/>
        </w:rPr>
        <w:t xml:space="preserve">Week 1:</w:t>
      </w:r>
      <w:r>
        <w:t xml:space="preserve"> </w:t>
      </w:r>
      <w:r>
        <w:t xml:space="preserve">Preparation and training of research staff.</w:t>
      </w:r>
    </w:p>
    <w:p>
      <w:pPr>
        <w:numPr>
          <w:ilvl w:val="0"/>
          <w:numId w:val="1005"/>
        </w:numPr>
        <w:pStyle w:val="Compact"/>
      </w:pPr>
      <w:r>
        <w:rPr>
          <w:bCs/>
          <w:b/>
        </w:rPr>
        <w:t xml:space="preserve">Weeks 2-4:</w:t>
      </w:r>
      <w:r>
        <w:t xml:space="preserve"> </w:t>
      </w:r>
      <w:r>
        <w:t xml:space="preserve">Data collection in the United States Miami field sites.</w:t>
      </w:r>
    </w:p>
    <w:p>
      <w:pPr>
        <w:numPr>
          <w:ilvl w:val="0"/>
          <w:numId w:val="1005"/>
        </w:numPr>
        <w:pStyle w:val="Compact"/>
      </w:pPr>
      <w:r>
        <w:rPr>
          <w:bCs/>
          <w:b/>
        </w:rPr>
        <w:t xml:space="preserve">Week 5:</w:t>
      </w:r>
      <w:r>
        <w:t xml:space="preserve"> </w:t>
      </w:r>
      <w:r>
        <w:t xml:space="preserve">Data cleaning and preliminary analysis by the Economist.</w:t>
      </w:r>
    </w:p>
    <w:p>
      <w:pPr>
        <w:numPr>
          <w:ilvl w:val="0"/>
          <w:numId w:val="1005"/>
        </w:numPr>
        <w:pStyle w:val="Compact"/>
      </w:pPr>
      <w:r>
        <w:rPr>
          <w:bCs/>
          <w:b/>
        </w:rPr>
        <w:t xml:space="preserve">Week 6:</w:t>
      </w:r>
      <w:r>
        <w:t xml:space="preserve"> </w:t>
      </w:r>
      <w:r>
        <w:t xml:space="preserve">Final report compilation and dissemination.</w:t>
      </w:r>
    </w:p>
    <w:p>
      <w:pPr>
        <w:pStyle w:val="FirstParagraph"/>
      </w:pPr>
      <w:r>
        <w:rPr>
          <w:bCs/>
          <w:b/>
        </w:rPr>
        <w:t xml:space="preserve">Disclaimer:</w:t>
      </w:r>
      <w:r>
        <w:t xml:space="preserve"> </w:t>
      </w:r>
      <w:r>
        <w:t xml:space="preserve">This document is a formal Experiment Protocol intended for academic and professional use. It outlines the procedures for an economic study conducted in the United States Miami area. All activities must be conducted in accordance with applicable laws and ethical standards.</w:t>
      </w:r>
    </w:p>
    <w:p>
      <w:pPr>
        <w:pStyle w:val="BodyText"/>
      </w:pPr>
      <w:r>
        <w:t xml:space="preserve">© 2023 Department of Urban Economics.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Miami</dc:title>
  <dc:creator/>
  <dc:language>en</dc:language>
  <cp:keywords/>
  <dcterms:created xsi:type="dcterms:W3CDTF">2026-10-10T08:39:49Z</dcterms:created>
  <dcterms:modified xsi:type="dcterms:W3CDTF">2026-10-10T08:39:49Z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