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Urban</w:t>
      </w:r>
      <w:r>
        <w:t xml:space="preserve"> </w:t>
      </w:r>
      <w:r>
        <w:t xml:space="preserve">Environments</w:t>
      </w:r>
    </w:p>
    <w:bookmarkStart w:id="31" w:name="X9873b22063f1fde6d5637fadc2b32beeb7fb9b7"/>
    <w:p>
      <w:pPr>
        <w:pStyle w:val="Heading1"/>
      </w:pPr>
      <w:r>
        <w:t xml:space="preserve">Experiment Protocol: Behavioral Responses to Dynamic Pricing in High-Density Urban Transit</w:t>
      </w:r>
    </w:p>
    <w:p>
      <w:pPr>
        <w:pStyle w:val="FirstParagraph"/>
      </w:pPr>
      <w:r>
        <w:rPr>
          <w:bCs/>
          <w:b/>
        </w:rPr>
        <w:t xml:space="preserve">Protocol ID:</w:t>
      </w:r>
      <w:r>
        <w:t xml:space="preserve"> </w:t>
      </w:r>
      <w:r>
        <w:t xml:space="preserve">NYC-BE-2024-001</w:t>
      </w:r>
    </w:p>
    <w:p>
      <w:pPr>
        <w:pStyle w:val="BodyText"/>
      </w:pPr>
      <w:r>
        <w:rPr>
          <w:bCs/>
          <w:b/>
        </w:rPr>
        <w:t xml:space="preserve">Principal Investigator:</w:t>
      </w:r>
      <w:r>
        <w:t xml:space="preserve"> </w:t>
      </w:r>
      <w:r>
        <w:t xml:space="preserve">Lead Economist, Urban Dynamics Lab</w:t>
      </w:r>
    </w:p>
    <w:p>
      <w:pPr>
        <w:pStyle w:val="BodyText"/>
      </w:pPr>
      <w:r>
        <w:rPr>
          <w:bCs/>
          <w:b/>
        </w:rPr>
        <w:t xml:space="preserve">Location:</w:t>
      </w:r>
      <w:r>
        <w:t xml:space="preserve"> </w:t>
      </w:r>
      <w:r>
        <w:t xml:space="preserve">United States, New York City (Manhattan, Brooklyn, Queens)</w:t>
      </w:r>
    </w:p>
    <w:p>
      <w:pPr>
        <w:pStyle w:val="BodyText"/>
      </w:pPr>
      <w:r>
        <w:rPr>
          <w:bCs/>
          <w:b/>
        </w:rPr>
        <w:t xml:space="preserve">Date of Approval:</w:t>
      </w:r>
      <w:r>
        <w:t xml:space="preserve"> </w:t>
      </w:r>
      <w:r>
        <w:t xml:space="preserve">October 15, 2024</w:t>
      </w:r>
    </w:p>
    <w:p>
      <w:pPr>
        <w:pStyle w:val="BodyText"/>
      </w:pPr>
      <w:r>
        <w:rPr>
          <w:bCs/>
          <w:b/>
        </w:rPr>
        <w:t xml:space="preserve">Status:</w:t>
      </w:r>
      <w:r>
        <w:t xml:space="preserve"> </w:t>
      </w:r>
      <w:r>
        <w:t xml:space="preserve">Active</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consumer behavior regarding dynamic pricing mechanisms within the public transportation and ride-sharing ecosystems of New York City. As the economic capital of the United States, New York City presents a unique, high-density laboratory for economic analysis. The sheer volume of daily transactions, combined with the diverse socioeconomic demographics of the city, offers an unparalleled dataset for testing theories of price elasticity and consumer utility.</w:t>
      </w:r>
    </w:p>
    <w:p>
      <w:pPr>
        <w:pStyle w:val="BodyText"/>
      </w:pPr>
      <w:r>
        <w:t xml:space="preserve">The primary objective of this study is to determine how commuters in New York City react to real-time price fluctuations during peak congestion hours. While traditional economic theory suggests that higher prices reduce demand, behavioral economics posits that factors such as habit, urgency, and perceived fairness play significant roles. This experiment aims to bridge the gap between theoretical models and the chaotic reality of urban commuting in one of the world's most complex metropolitan areas.</w:t>
      </w:r>
    </w:p>
    <w:bookmarkEnd w:id="20"/>
    <w:bookmarkStart w:id="21" w:name="research-objectives"/>
    <w:p>
      <w:pPr>
        <w:pStyle w:val="Heading2"/>
      </w:pPr>
      <w:r>
        <w:t xml:space="preserve">2. Research Objectives</w:t>
      </w:r>
    </w:p>
    <w:p>
      <w:pPr>
        <w:pStyle w:val="FirstParagraph"/>
      </w:pPr>
      <w:r>
        <w:t xml:space="preserve">The Economist leading this study has defined the following specific objectives:</w:t>
      </w:r>
    </w:p>
    <w:p>
      <w:pPr>
        <w:numPr>
          <w:ilvl w:val="0"/>
          <w:numId w:val="1001"/>
        </w:numPr>
        <w:pStyle w:val="Compact"/>
      </w:pPr>
      <w:r>
        <w:t xml:space="preserve">To quantify the price elasticity of demand for last-mile transportation solutions in Manhattan and surrounding boroughs.</w:t>
      </w:r>
    </w:p>
    <w:p>
      <w:pPr>
        <w:numPr>
          <w:ilvl w:val="0"/>
          <w:numId w:val="1001"/>
        </w:numPr>
        <w:pStyle w:val="Compact"/>
      </w:pPr>
      <w:r>
        <w:t xml:space="preserve">To analyze the impact of "surge pricing" notifications on route selection and mode of transport (e.g., subway vs. ride-share).</w:t>
      </w:r>
    </w:p>
    <w:p>
      <w:pPr>
        <w:numPr>
          <w:ilvl w:val="0"/>
          <w:numId w:val="1001"/>
        </w:numPr>
        <w:pStyle w:val="Compact"/>
      </w:pPr>
      <w:r>
        <w:t xml:space="preserve">To assess the psychological impact of price transparency on consumer trust in urban mobility services.</w:t>
      </w:r>
    </w:p>
    <w:p>
      <w:pPr>
        <w:numPr>
          <w:ilvl w:val="0"/>
          <w:numId w:val="1001"/>
        </w:numPr>
        <w:pStyle w:val="Compact"/>
      </w:pPr>
      <w:r>
        <w:t xml:space="preserve">To provide data-driven recommendations to New York City policymakers regarding congestion pricing and public transit subsidies.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overlaid on a natural experiment framework. We will partner with major mobility providers operating in New York City to introduce controlled pricing variations in specific geographic zones. The study will run for a period of six months to account for seasonal variations in weather and tourism, which heavily influence economic activity in the United States.</w:t>
      </w:r>
    </w:p>
    <w:bookmarkEnd w:id="22"/>
    <w:bookmarkStart w:id="23" w:name="target-population"/>
    <w:p>
      <w:pPr>
        <w:pStyle w:val="Heading3"/>
      </w:pPr>
      <w:r>
        <w:t xml:space="preserve">3.2 Target Population</w:t>
      </w:r>
    </w:p>
    <w:p>
      <w:pPr>
        <w:pStyle w:val="FirstParagraph"/>
      </w:pPr>
      <w:r>
        <w:t xml:space="preserve">The target population consists of adult commuters residing in or working within New York City. To ensure statistical significance and representativeness, the sample will be stratified by income level, neighborhood, and frequency of transit use. The diversity of New York City allows us to test how different economic strata respond to identical pricing stimuli.</w:t>
      </w:r>
    </w:p>
    <w:bookmarkEnd w:id="23"/>
    <w:bookmarkStart w:id="24" w:name="experimental-conditions"/>
    <w:p>
      <w:pPr>
        <w:pStyle w:val="Heading3"/>
      </w:pPr>
      <w:r>
        <w:t xml:space="preserve">3.3 Experimental Conditions</w:t>
      </w:r>
    </w:p>
    <w:p>
      <w:pPr>
        <w:pStyle w:val="FirstParagraph"/>
      </w:pPr>
      <w:r>
        <w:t xml:space="preserve">Participants will be randomly assigned to one of three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Condition</w:t>
            </w:r>
          </w:p>
        </w:tc>
        <w:tc>
          <w:tcPr/>
          <w:p>
            <w:pPr>
              <w:pStyle w:val="Compact"/>
              <w:jc w:val="left"/>
            </w:pPr>
            <w:r>
              <w:t xml:space="preserve">Description</w:t>
            </w:r>
          </w:p>
        </w:tc>
      </w:tr>
      <w:tr>
        <w:tc>
          <w:tcPr/>
          <w:p>
            <w:pPr>
              <w:pStyle w:val="Compact"/>
              <w:jc w:val="left"/>
            </w:pPr>
            <w:r>
              <w:t xml:space="preserve">Control Group</w:t>
            </w:r>
          </w:p>
        </w:tc>
        <w:tc>
          <w:tcPr/>
          <w:p>
            <w:pPr>
              <w:pStyle w:val="Compact"/>
              <w:jc w:val="left"/>
            </w:pPr>
            <w:r>
              <w:t xml:space="preserve">Standard Pricing</w:t>
            </w:r>
          </w:p>
        </w:tc>
        <w:tc>
          <w:tcPr/>
          <w:p>
            <w:pPr>
              <w:pStyle w:val="Compact"/>
              <w:jc w:val="left"/>
            </w:pPr>
            <w:r>
              <w:t xml:space="preserve">Participants see standard, fixed rates for all services.</w:t>
            </w:r>
          </w:p>
        </w:tc>
      </w:tr>
      <w:tr>
        <w:tc>
          <w:tcPr/>
          <w:p>
            <w:pPr>
              <w:pStyle w:val="Compact"/>
              <w:jc w:val="left"/>
            </w:pPr>
            <w:r>
              <w:t xml:space="preserve">Treatment Group A</w:t>
            </w:r>
          </w:p>
        </w:tc>
        <w:tc>
          <w:tcPr/>
          <w:p>
            <w:pPr>
              <w:pStyle w:val="Compact"/>
              <w:jc w:val="left"/>
            </w:pPr>
            <w:r>
              <w:t xml:space="preserve">Dynamic Pricing</w:t>
            </w:r>
          </w:p>
        </w:tc>
        <w:tc>
          <w:tcPr/>
          <w:p>
            <w:pPr>
              <w:pStyle w:val="Compact"/>
              <w:jc w:val="left"/>
            </w:pPr>
            <w:r>
              <w:t xml:space="preserve">Participants see real-time price increases during peak congestion.</w:t>
            </w:r>
          </w:p>
        </w:tc>
      </w:tr>
      <w:tr>
        <w:tc>
          <w:tcPr/>
          <w:p>
            <w:pPr>
              <w:pStyle w:val="Compact"/>
              <w:jc w:val="left"/>
            </w:pPr>
            <w:r>
              <w:t xml:space="preserve">Treatment Group B</w:t>
            </w:r>
          </w:p>
        </w:tc>
        <w:tc>
          <w:tcPr/>
          <w:p>
            <w:pPr>
              <w:pStyle w:val="Compact"/>
              <w:jc w:val="left"/>
            </w:pPr>
            <w:r>
              <w:t xml:space="preserve">Dynamic + Incentive</w:t>
            </w:r>
          </w:p>
        </w:tc>
        <w:tc>
          <w:tcPr/>
          <w:p>
            <w:pPr>
              <w:pStyle w:val="Compact"/>
              <w:jc w:val="left"/>
            </w:pPr>
            <w:r>
              <w:t xml:space="preserve">Participants see dynamic pricing but are offered a discount for off-peak travel.</w:t>
            </w:r>
          </w:p>
        </w:tc>
      </w:tr>
    </w:tbl>
    <w:bookmarkEnd w:id="24"/>
    <w:bookmarkEnd w:id="25"/>
    <w:bookmarkStart w:id="26" w:name="data-collection-procedures"/>
    <w:p>
      <w:pPr>
        <w:pStyle w:val="Heading2"/>
      </w:pPr>
      <w:r>
        <w:t xml:space="preserve">4. Data Collection Procedures</w:t>
      </w:r>
    </w:p>
    <w:p>
      <w:pPr>
        <w:pStyle w:val="FirstParagraph"/>
      </w:pPr>
      <w:r>
        <w:t xml:space="preserve">Data collection will be conducted through a dedicated mobile application interface. The Economist team will monitor transaction logs, route choices, and time-of-day data. Additionally, post-trip surveys will be administered to capture qualitative data regarding user satisfaction and perceived fairness.</w:t>
      </w:r>
    </w:p>
    <w:p>
      <w:pPr>
        <w:pStyle w:val="BodyText"/>
      </w:pPr>
      <w:r>
        <w:t xml:space="preserve">Key metrics to be tracked include:</w:t>
      </w:r>
    </w:p>
    <w:p>
      <w:pPr>
        <w:numPr>
          <w:ilvl w:val="0"/>
          <w:numId w:val="1002"/>
        </w:numPr>
        <w:pStyle w:val="Compact"/>
      </w:pPr>
      <w:r>
        <w:rPr>
          <w:bCs/>
          <w:b/>
        </w:rPr>
        <w:t xml:space="preserve">Conversion Rate:</w:t>
      </w:r>
      <w:r>
        <w:t xml:space="preserve"> </w:t>
      </w:r>
      <w:r>
        <w:t xml:space="preserve">The percentage of users who complete a trip after seeing a price quote.</w:t>
      </w:r>
    </w:p>
    <w:p>
      <w:pPr>
        <w:numPr>
          <w:ilvl w:val="0"/>
          <w:numId w:val="1002"/>
        </w:numPr>
        <w:pStyle w:val="Compact"/>
      </w:pPr>
      <w:r>
        <w:rPr>
          <w:bCs/>
          <w:b/>
        </w:rPr>
        <w:t xml:space="preserve">Mode Shift:</w:t>
      </w:r>
      <w:r>
        <w:t xml:space="preserve"> </w:t>
      </w:r>
      <w:r>
        <w:t xml:space="preserve">The frequency with which users switch from ride-sharing to public transit (MTA) in response to price hikes.</w:t>
      </w:r>
    </w:p>
    <w:p>
      <w:pPr>
        <w:numPr>
          <w:ilvl w:val="0"/>
          <w:numId w:val="1002"/>
        </w:numPr>
        <w:pStyle w:val="Compact"/>
      </w:pPr>
      <w:r>
        <w:rPr>
          <w:bCs/>
          <w:b/>
        </w:rPr>
        <w:t xml:space="preserve">Time Displacement:</w:t>
      </w:r>
      <w:r>
        <w:t xml:space="preserve"> </w:t>
      </w:r>
      <w:r>
        <w:t xml:space="preserve">Whether users delay their trips to avoid peak pricing.</w:t>
      </w:r>
    </w:p>
    <w:bookmarkEnd w:id="26"/>
    <w:bookmarkStart w:id="27" w:name="ethical-considerations-and-compliance"/>
    <w:p>
      <w:pPr>
        <w:pStyle w:val="Heading2"/>
      </w:pPr>
      <w:r>
        <w:t xml:space="preserve">5. Ethical Considerations and Compliance</w:t>
      </w:r>
    </w:p>
    <w:p>
      <w:pPr>
        <w:pStyle w:val="FirstParagraph"/>
      </w:pPr>
      <w:r>
        <w:t xml:space="preserve">Given the sensitive nature of financial data and location tracking, this Experiment Protocol strictly adheres to the ethical guidelines set forth by the Institutional Review Board (IRB) and federal regulations in the United States.</w:t>
      </w:r>
    </w:p>
    <w:p>
      <w:pPr>
        <w:pStyle w:val="BodyText"/>
      </w:pPr>
      <w:r>
        <w:rPr>
          <w:bCs/>
          <w:b/>
        </w:rPr>
        <w:t xml:space="preserve">Informed Consent:</w:t>
      </w:r>
      <w:r>
        <w:t xml:space="preserve"> </w:t>
      </w:r>
      <w:r>
        <w:t xml:space="preserve">All participants must provide explicit informed consent before joining the study. They will be clearly informed that pricing may vary as part of the experiment.</w:t>
      </w:r>
    </w:p>
    <w:p>
      <w:pPr>
        <w:pStyle w:val="BodyText"/>
      </w:pPr>
      <w:r>
        <w:rPr>
          <w:bCs/>
          <w:b/>
        </w:rPr>
        <w:t xml:space="preserve">Data Privacy:</w:t>
      </w:r>
      <w:r>
        <w:t xml:space="preserve"> </w:t>
      </w:r>
      <w:r>
        <w:t xml:space="preserve">All personal data will be anonymized and encrypted. No individual user's financial information will be shared with third parties. Compliance with New York State privacy laws is mandatory.</w:t>
      </w:r>
    </w:p>
    <w:p>
      <w:pPr>
        <w:pStyle w:val="BodyText"/>
      </w:pPr>
      <w:r>
        <w:rPr>
          <w:bCs/>
          <w:b/>
        </w:rPr>
        <w:t xml:space="preserve">Right to Withdraw:</w:t>
      </w:r>
      <w:r>
        <w:t xml:space="preserve"> </w:t>
      </w:r>
      <w:r>
        <w:t xml:space="preserve">Participants may withdraw from the study at any time without penalty or loss of service access.</w:t>
      </w:r>
    </w:p>
    <w:bookmarkEnd w:id="27"/>
    <w:bookmarkStart w:id="28" w:name="risk-management"/>
    <w:p>
      <w:pPr>
        <w:pStyle w:val="Heading2"/>
      </w:pPr>
      <w:r>
        <w:t xml:space="preserve">6. Risk Management</w:t>
      </w:r>
    </w:p>
    <w:p>
      <w:pPr>
        <w:pStyle w:val="FirstParagraph"/>
      </w:pPr>
      <w:r>
        <w:t xml:space="preserve">Potential risks include user frustration due to unexpected price changes and potential exacerbation of economic inequality if certain groups are disproportionately affected. To mitigate these risks, the Economist team has established a "price cap" mechanism to ensure that no participant is charged more than 150% of the standard rate. Furthermore, continuous monitoring will be conducted to detect any adverse effects on essential workers or low-income participants.</w:t>
      </w:r>
    </w:p>
    <w:bookmarkEnd w:id="28"/>
    <w:bookmarkStart w:id="29" w:name="data-analysis-plan"/>
    <w:p>
      <w:pPr>
        <w:pStyle w:val="Heading2"/>
      </w:pPr>
      <w:r>
        <w:t xml:space="preserve">7. Data Analysis Plan</w:t>
      </w:r>
    </w:p>
    <w:p>
      <w:pPr>
        <w:pStyle w:val="FirstParagraph"/>
      </w:pPr>
      <w:r>
        <w:t xml:space="preserve">Upon completion of the data collection phase, the Economist team will employ advanced econometric models to analyze the results. Difference-in-differences estimation will be used to isolate the causal effect of dynamic pricing on consumer behavior. The analysis will control for external variables such as weather conditions, major events in New York City, and broader economic trends in the United States.</w:t>
      </w:r>
    </w:p>
    <w:bookmarkEnd w:id="29"/>
    <w:bookmarkStart w:id="30" w:name="dissemination-of-results"/>
    <w:p>
      <w:pPr>
        <w:pStyle w:val="Heading2"/>
      </w:pPr>
      <w:r>
        <w:t xml:space="preserve">8. Dissemination of Results</w:t>
      </w:r>
    </w:p>
    <w:p>
      <w:pPr>
        <w:pStyle w:val="FirstParagraph"/>
      </w:pPr>
      <w:r>
        <w:t xml:space="preserve">The findings of this experiment will be compiled into a comprehensive report and submitted to peer-reviewed economic journals. Additionally, a summary of the results will be presented to the New York City Department of Transportation and relevant stakeholders to inform future urban planning and pricing policies. The goal is to contribute to the broader understanding of urban economics and improve the efficiency of transportation systems in major metropolitan areas.</w:t>
      </w:r>
    </w:p>
    <w:p>
      <w:pPr>
        <w:pStyle w:val="BodyText"/>
      </w:pPr>
      <w:r>
        <w:t xml:space="preserve">© 2024 Urban Dynamics Lab. All rights reserved.</w:t>
      </w:r>
      <w:r>
        <w:br/>
      </w:r>
      <w:r>
        <w:t xml:space="preserve">This document is confidential and intended for authorized personnel only.</w:t>
      </w:r>
      <w:r>
        <w:br/>
      </w:r>
      <w:r>
        <w:t xml:space="preserve">Experiment Protocol Version 1.0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Urban Environments</dc:title>
  <dc:creator/>
  <dc:language>en</dc:language>
  <cp:keywords/>
  <dcterms:created xsi:type="dcterms:W3CDTF">2026-10-10T12:43:07Z</dcterms:created>
  <dcterms:modified xsi:type="dcterms:W3CDTF">2026-10-10T12:43:07Z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