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Behavioral</w:t>
      </w:r>
      <w:r>
        <w:t xml:space="preserve"> </w:t>
      </w:r>
      <w:r>
        <w:t xml:space="preserve">Economics</w:t>
      </w:r>
      <w:r>
        <w:t xml:space="preserve"> </w:t>
      </w:r>
      <w:r>
        <w:t xml:space="preserve">in</w:t>
      </w:r>
      <w:r>
        <w:t xml:space="preserve"> </w:t>
      </w:r>
      <w:r>
        <w:t xml:space="preserve">San</w:t>
      </w:r>
      <w:r>
        <w:t xml:space="preserve"> </w:t>
      </w:r>
      <w:r>
        <w:t xml:space="preserve">Francisco</w:t>
      </w:r>
    </w:p>
    <w:p>
      <w:pPr>
        <w:pStyle w:val="FirstParagraph"/>
      </w:pPr>
      <w:r>
        <w:rPr>
          <w:bCs/>
          <w:b/>
        </w:rPr>
        <w:t xml:space="preserve">Document Title:</w:t>
      </w:r>
      <w:r>
        <w:t xml:space="preserve"> </w:t>
      </w:r>
      <w:r>
        <w:t xml:space="preserve">Experiment Protocol: Behavioral Responses to Dynamic Pricing in Urban Mobility</w:t>
      </w:r>
      <w:r>
        <w:br/>
      </w:r>
      <w:r>
        <w:rPr>
          <w:bCs/>
          <w:b/>
        </w:rPr>
        <w:t xml:space="preserve">Location:</w:t>
      </w:r>
      <w:r>
        <w:t xml:space="preserve"> </w:t>
      </w:r>
      <w:r>
        <w:t xml:space="preserve">United States, San Francisco</w:t>
      </w:r>
      <w:r>
        <w:br/>
      </w:r>
      <w:r>
        <w:rPr>
          <w:bCs/>
          <w:b/>
        </w:rPr>
        <w:t xml:space="preserve">Discipline:</w:t>
      </w:r>
      <w:r>
        <w:t xml:space="preserve"> </w:t>
      </w:r>
      <w:r>
        <w:t xml:space="preserve">Economics / Behavioral Science</w:t>
      </w:r>
      <w:r>
        <w:br/>
      </w:r>
      <w:r>
        <w:rPr>
          <w:bCs/>
          <w:b/>
        </w:rPr>
        <w:t xml:space="preserve">Version:</w:t>
      </w:r>
      <w:r>
        <w:t xml:space="preserve"> </w:t>
      </w:r>
      <w:r>
        <w:t xml:space="preserve">1.0</w:t>
      </w:r>
      <w:r>
        <w:br/>
      </w:r>
      <w:r>
        <w:rPr>
          <w:bCs/>
          <w:b/>
        </w:rPr>
        <w:t xml:space="preserve">Date:</w:t>
      </w:r>
      <w:r>
        <w:t xml:space="preserve"> </w:t>
      </w:r>
      <w:r>
        <w:t xml:space="preserve">October 26, 2023</w:t>
      </w:r>
    </w:p>
    <w:bookmarkStart w:id="33" w:name="experiment-protocol"/>
    <w:p>
      <w:pPr>
        <w:pStyle w:val="Heading1"/>
      </w:pPr>
      <w:r>
        <w:t xml:space="preserve">Experiment Protocol</w:t>
      </w:r>
    </w:p>
    <w:bookmarkStart w:id="20" w:name="introduction-and-objective"/>
    <w:p>
      <w:pPr>
        <w:pStyle w:val="Heading2"/>
      </w:pPr>
      <w:r>
        <w:t xml:space="preserve">1. Introduction and Objective</w:t>
      </w:r>
    </w:p>
    <w:p>
      <w:pPr>
        <w:pStyle w:val="FirstParagraph"/>
      </w:pPr>
      <w:r>
        <w:t xml:space="preserve">This Experiment Protocol outlines the methodology for a field study designed to analyze the decision-making processes of consumers within the high-density urban environment of San Francisco, United States. The primary objective is to evaluate how real-time price fluctuations affect consumer demand elasticity for short-term mobility services. As an Economist, the researcher aims to gather empirical data to refine existing models of rational choice theory, specifically testing the hypothesis that transparency in dynamic pricing algorithms reduces consumer anxiety and increases market efficiency in the San Francisco Bay Area.</w:t>
      </w:r>
    </w:p>
    <w:bookmarkEnd w:id="20"/>
    <w:bookmarkStart w:id="21" w:name="X6ec50d0ccd866afb1efb9ce99691d5c43a0f8cc"/>
    <w:p>
      <w:pPr>
        <w:pStyle w:val="Heading2"/>
      </w:pPr>
      <w:r>
        <w:t xml:space="preserve">2. Contextual Background: San Francisco Market</w:t>
      </w:r>
    </w:p>
    <w:p>
      <w:pPr>
        <w:pStyle w:val="FirstParagraph"/>
      </w:pPr>
      <w:r>
        <w:t xml:space="preserve">San Francisco presents a unique laboratory for economic experimentation due to its high cost of living, robust technology sector, and complex public-private transportation infrastructure. The local economy is characterized by significant income inequality and a high reliance on gig-economy platforms. This Experiment Protocol is tailored to the specific regulatory environment of the United States, adhering to federal data privacy standards while addressing local municipal regulations regarding ride-hailing and micro-mobility services. The study will focus on the interaction between algorithmic pricing and human behavior in a market where consumers are highly digitally literate yet sensitive to perceived price gouging.</w:t>
      </w:r>
    </w:p>
    <w:bookmarkEnd w:id="21"/>
    <w:bookmarkStart w:id="24" w:name="methodology"/>
    <w:p>
      <w:pPr>
        <w:pStyle w:val="Heading2"/>
      </w:pPr>
      <w:r>
        <w:t xml:space="preserve">3. Methodology</w:t>
      </w:r>
    </w:p>
    <w:bookmarkStart w:id="22" w:name="study-design"/>
    <w:p>
      <w:pPr>
        <w:pStyle w:val="Heading3"/>
      </w:pPr>
      <w:r>
        <w:t xml:space="preserve">3.1 Study Design</w:t>
      </w:r>
    </w:p>
    <w:p>
      <w:pPr>
        <w:pStyle w:val="FirstParagraph"/>
      </w:pPr>
      <w:r>
        <w:t xml:space="preserve">The Economist will employ a randomized controlled trial (RCT) design. Participants will be recruited from various neighborhoods across San Francisco, including the Financial District, Mission District, and Sunset District, to ensure demographic diversity. The experiment will simulate a ride-hailing scenario where participants are presented with different pricing structures for the same route.</w:t>
      </w:r>
    </w:p>
    <w:bookmarkEnd w:id="22"/>
    <w:bookmarkStart w:id="23" w:name="variables"/>
    <w:p>
      <w:pPr>
        <w:pStyle w:val="Heading3"/>
      </w:pPr>
      <w:r>
        <w:t xml:space="preserve">3.2 Variables</w:t>
      </w:r>
    </w:p>
    <w:p>
      <w:pPr>
        <w:numPr>
          <w:ilvl w:val="0"/>
          <w:numId w:val="1001"/>
        </w:numPr>
        <w:pStyle w:val="Compact"/>
      </w:pPr>
      <w:r>
        <w:rPr>
          <w:bCs/>
          <w:b/>
        </w:rPr>
        <w:t xml:space="preserve">Independent Variable:</w:t>
      </w:r>
      <w:r>
        <w:t xml:space="preserve"> </w:t>
      </w:r>
      <w:r>
        <w:t xml:space="preserve">The presentation of pricing information (e.g., opaque surge pricing vs. transparent breakdown of demand-based costs).</w:t>
      </w:r>
    </w:p>
    <w:p>
      <w:pPr>
        <w:numPr>
          <w:ilvl w:val="0"/>
          <w:numId w:val="1001"/>
        </w:numPr>
        <w:pStyle w:val="Compact"/>
      </w:pPr>
      <w:r>
        <w:rPr>
          <w:bCs/>
          <w:b/>
        </w:rPr>
        <w:t xml:space="preserve">Dependent Variable:</w:t>
      </w:r>
      <w:r>
        <w:t xml:space="preserve"> </w:t>
      </w:r>
      <w:r>
        <w:t xml:space="preserve">The participant's willingness to pay, time to decision, and satisfaction rating.</w:t>
      </w:r>
    </w:p>
    <w:p>
      <w:pPr>
        <w:numPr>
          <w:ilvl w:val="0"/>
          <w:numId w:val="1001"/>
        </w:numPr>
        <w:pStyle w:val="Compact"/>
      </w:pPr>
      <w:r>
        <w:rPr>
          <w:bCs/>
          <w:b/>
        </w:rPr>
        <w:t xml:space="preserve">Control Variables:</w:t>
      </w:r>
      <w:r>
        <w:t xml:space="preserve"> </w:t>
      </w:r>
      <w:r>
        <w:t xml:space="preserve">Time of day, weather conditions, distance of the trip, and participant income bracket.</w:t>
      </w:r>
    </w:p>
    <w:bookmarkEnd w:id="23"/>
    <w:bookmarkEnd w:id="24"/>
    <w:bookmarkStart w:id="25" w:name="X28db9eecc7af89a805b8b5ea50fc2e58be7ea54"/>
    <w:p>
      <w:pPr>
        <w:pStyle w:val="Heading2"/>
      </w:pPr>
      <w:r>
        <w:t xml:space="preserve">4. Participant Recruitment and Inclusion Criteria</w:t>
      </w:r>
    </w:p>
    <w:p>
      <w:pPr>
        <w:pStyle w:val="FirstParagraph"/>
      </w:pPr>
      <w:r>
        <w:t xml:space="preserve">To ensure the validity of the economic data, participants must meet specific criteria relevant to the San Francisco consumer base:</w:t>
      </w:r>
    </w:p>
    <w:p>
      <w:pPr>
        <w:numPr>
          <w:ilvl w:val="0"/>
          <w:numId w:val="1002"/>
        </w:numPr>
        <w:pStyle w:val="Compact"/>
      </w:pPr>
      <w:r>
        <w:t xml:space="preserve">Must be a resident or frequent visitor of San Francisco, United States.</w:t>
      </w:r>
    </w:p>
    <w:p>
      <w:pPr>
        <w:numPr>
          <w:ilvl w:val="0"/>
          <w:numId w:val="1002"/>
        </w:numPr>
        <w:pStyle w:val="Compact"/>
      </w:pPr>
      <w:r>
        <w:t xml:space="preserve">Must be at least 18 years of age.</w:t>
      </w:r>
    </w:p>
    <w:p>
      <w:pPr>
        <w:numPr>
          <w:ilvl w:val="0"/>
          <w:numId w:val="1002"/>
        </w:numPr>
        <w:pStyle w:val="Compact"/>
      </w:pPr>
      <w:r>
        <w:t xml:space="preserve">Must have used a digital mobility service (e.g., Uber, Lyft, Bird) at least once in the past month.</w:t>
      </w:r>
    </w:p>
    <w:p>
      <w:pPr>
        <w:numPr>
          <w:ilvl w:val="0"/>
          <w:numId w:val="1002"/>
        </w:numPr>
        <w:pStyle w:val="Compact"/>
      </w:pPr>
      <w:r>
        <w:t xml:space="preserve">Must provide informed consent in accordance with United States ethical guidelines for human subject research.</w:t>
      </w:r>
    </w:p>
    <w:p>
      <w:pPr>
        <w:pStyle w:val="FirstParagraph"/>
      </w:pPr>
      <w:r>
        <w:t xml:space="preserve">Recruitment will be conducted via digital platforms and physical intercepts in high-traffic areas such as Union Square and the Embarcadero.</w:t>
      </w:r>
    </w:p>
    <w:bookmarkEnd w:id="25"/>
    <w:bookmarkStart w:id="28" w:name="procedure"/>
    <w:p>
      <w:pPr>
        <w:pStyle w:val="Heading2"/>
      </w:pPr>
      <w:r>
        <w:t xml:space="preserve">5. Procedure</w:t>
      </w:r>
    </w:p>
    <w:bookmarkStart w:id="26" w:name="pre-experiment-phase"/>
    <w:p>
      <w:pPr>
        <w:pStyle w:val="Heading3"/>
      </w:pPr>
      <w:r>
        <w:t xml:space="preserve">5.1 Pre-Experiment Phase</w:t>
      </w:r>
    </w:p>
    <w:p>
      <w:pPr>
        <w:pStyle w:val="FirstParagraph"/>
      </w:pPr>
      <w:r>
        <w:t xml:space="preserve">The Economist will configure the experimental interface to mimic standard mobility applications. All data collection tools will be secured to protect participant anonymity. A pilot test will be conducted with a small sample group in San Francisco to calibrate the pricing scenarios to local market rates.</w:t>
      </w:r>
    </w:p>
    <w:bookmarkEnd w:id="26"/>
    <w:bookmarkStart w:id="27" w:name="execution-phase"/>
    <w:p>
      <w:pPr>
        <w:pStyle w:val="Heading3"/>
      </w:pPr>
      <w:r>
        <w:t xml:space="preserve">5.2 Execution Phase</w:t>
      </w:r>
    </w:p>
    <w:p>
      <w:pPr>
        <w:pStyle w:val="FirstParagraph"/>
      </w:pPr>
      <w:r>
        <w:t xml:space="preserve">Participants will be randomly assigned to one of three groups:</w:t>
      </w:r>
    </w:p>
    <w:p>
      <w:pPr>
        <w:numPr>
          <w:ilvl w:val="0"/>
          <w:numId w:val="1003"/>
        </w:numPr>
        <w:pStyle w:val="Compact"/>
      </w:pPr>
      <w:r>
        <w:rPr>
          <w:bCs/>
          <w:b/>
        </w:rPr>
        <w:t xml:space="preserve">Group A (Control):</w:t>
      </w:r>
      <w:r>
        <w:t xml:space="preserve"> </w:t>
      </w:r>
      <w:r>
        <w:t xml:space="preserve">Presented with a standard, opaque surge price.</w:t>
      </w:r>
    </w:p>
    <w:p>
      <w:pPr>
        <w:numPr>
          <w:ilvl w:val="0"/>
          <w:numId w:val="1003"/>
        </w:numPr>
        <w:pStyle w:val="Compact"/>
      </w:pPr>
      <w:r>
        <w:rPr>
          <w:bCs/>
          <w:b/>
        </w:rPr>
        <w:t xml:space="preserve">Group B (Transparency):</w:t>
      </w:r>
      <w:r>
        <w:t xml:space="preserve"> </w:t>
      </w:r>
      <w:r>
        <w:t xml:space="preserve">Presented with the same price but with a detailed breakdown explaining the surge (e.g., "High demand in your area").</w:t>
      </w:r>
    </w:p>
    <w:p>
      <w:pPr>
        <w:numPr>
          <w:ilvl w:val="0"/>
          <w:numId w:val="1003"/>
        </w:numPr>
        <w:pStyle w:val="Compact"/>
      </w:pPr>
      <w:r>
        <w:rPr>
          <w:bCs/>
          <w:b/>
        </w:rPr>
        <w:t xml:space="preserve">Group C (Choice):</w:t>
      </w:r>
      <w:r>
        <w:t xml:space="preserve"> </w:t>
      </w:r>
      <w:r>
        <w:t xml:space="preserve">Presented with the surge price and an option to wait for a lower price with a guaranteed pickup time.</w:t>
      </w:r>
    </w:p>
    <w:p>
      <w:pPr>
        <w:pStyle w:val="FirstParagraph"/>
      </w:pPr>
      <w:r>
        <w:t xml:space="preserve">The Economist will record the time taken to make a decision, the final choice made, and post-decision survey responses regarding trust and perceived fairness.</w:t>
      </w:r>
    </w:p>
    <w:bookmarkEnd w:id="27"/>
    <w:bookmarkEnd w:id="28"/>
    <w:bookmarkStart w:id="29" w:name="data-analysis"/>
    <w:p>
      <w:pPr>
        <w:pStyle w:val="Heading2"/>
      </w:pPr>
      <w:r>
        <w:t xml:space="preserve">6. Data Analysis</w:t>
      </w:r>
    </w:p>
    <w:p>
      <w:pPr>
        <w:pStyle w:val="FirstParagraph"/>
      </w:pPr>
      <w:r>
        <w:t xml:space="preserve">Data will be analyzed using econometric models to determine statistical significance. The Economist will focus on calculating the price elasticity of demand for each group. Special attention will be paid to how transparency (Group B) and choice architecture (Group C) influence consumer surplus and market efficiency. The analysis will also consider external factors specific to San Francisco, such as traffic congestion patterns and public transit availability, which may confound the results.</w:t>
      </w:r>
    </w:p>
    <w:bookmarkEnd w:id="29"/>
    <w:bookmarkStart w:id="30" w:name="ethical-considerations-and-compliance"/>
    <w:p>
      <w:pPr>
        <w:pStyle w:val="Heading2"/>
      </w:pPr>
      <w:r>
        <w:t xml:space="preserve">7. Ethical Considerations and Compliance</w:t>
      </w:r>
    </w:p>
    <w:p>
      <w:pPr>
        <w:pStyle w:val="FirstParagraph"/>
      </w:pPr>
      <w:r>
        <w:t xml:space="preserve">This Experiment Protocol strictly adheres to the ethical standards set forth by the United States Department of Health and Human Services. Informed consent will be obtained from all participants prior to their involvement. No personal identifiable information (PII) will be stored without explicit permission. The study will not manipulate actual prices in the real market; all scenarios are simulated. Participants will be debriefed after the experiment and compensated fairly according to San Francisco's prevailing wage standards for research participants.</w:t>
      </w:r>
    </w:p>
    <w:bookmarkEnd w:id="30"/>
    <w:bookmarkStart w:id="31" w:name="expected-outcomes-and-impact"/>
    <w:p>
      <w:pPr>
        <w:pStyle w:val="Heading2"/>
      </w:pPr>
      <w:r>
        <w:t xml:space="preserve">8. Expected Outcomes and Impact</w:t>
      </w:r>
    </w:p>
    <w:p>
      <w:pPr>
        <w:pStyle w:val="FirstParagraph"/>
      </w:pPr>
      <w:r>
        <w:t xml:space="preserve">The findings from this Experiment Protocol are expected to provide valuable insights for policymakers, platform operators, and economists. By understanding how San Francisco consumers react to dynamic pricing, stakeholders can design more equitable and efficient market mechanisms. The Economist anticipates that increased transparency will lead to higher consumer trust and reduced churn, while choice architecture may help mitigate the negative perceptions of surge pricing. These results will contribute to the broader literature on behavioral economics in urban environments within the United States.</w:t>
      </w:r>
    </w:p>
    <w:bookmarkEnd w:id="31"/>
    <w:bookmarkStart w:id="32" w:name="conclusion"/>
    <w:p>
      <w:pPr>
        <w:pStyle w:val="Heading2"/>
      </w:pPr>
      <w:r>
        <w:t xml:space="preserve">9. Conclusion</w:t>
      </w:r>
    </w:p>
    <w:p>
      <w:pPr>
        <w:pStyle w:val="FirstParagraph"/>
      </w:pPr>
      <w:r>
        <w:t xml:space="preserve">This Experiment Protocol provides a comprehensive framework for investigating the intersection of technology, pricing, and human behavior in San Francisco. By rigorously applying economic principles to a real-world urban context, the study aims to generate actionable knowledge that benefits both consumers and the broader economy. The Economist will ensure that all procedures are followed meticulously to maintain the integrity and reliability of the data collected.</w:t>
      </w:r>
    </w:p>
    <w:bookmarkEnd w:id="32"/>
    <w:p>
      <w:pPr>
        <w:pStyle w:val="BodyText"/>
      </w:pPr>
      <w:r>
        <w:t xml:space="preserve">End of Document. This protocol is subject to review and approval by the relevant Institutional Review Board (IRB) before implementation.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Behavioral Economics in San Francisco</dc:title>
  <dc:creator/>
  <dc:language>en</dc:language>
  <cp:keywords/>
  <dcterms:created xsi:type="dcterms:W3CDTF">2026-10-10T13:53:02Z</dcterms:created>
  <dcterms:modified xsi:type="dcterms:W3CDTF">2026-10-10T13:53:02Z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