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Behavioral</w:t>
      </w:r>
      <w:r>
        <w:t xml:space="preserve"> </w:t>
      </w:r>
      <w:r>
        <w:t xml:space="preserve">Economics</w:t>
      </w:r>
      <w:r>
        <w:t xml:space="preserve"> </w:t>
      </w:r>
      <w:r>
        <w:t xml:space="preserve">in</w:t>
      </w:r>
      <w:r>
        <w:t xml:space="preserve"> </w:t>
      </w:r>
      <w:r>
        <w:t xml:space="preserve">Tashkent</w:t>
      </w:r>
    </w:p>
    <w:bookmarkStart w:id="29" w:name="X1b5b4059c297eba423d7b04d7bc437a5896376c"/>
    <w:p>
      <w:pPr>
        <w:pStyle w:val="Heading1"/>
      </w:pPr>
      <w:r>
        <w:t xml:space="preserve">Experiment Protocol: Behavioral Decision-Making in Emerging Markets</w:t>
      </w:r>
    </w:p>
    <w:p>
      <w:pPr>
        <w:pStyle w:val="FirstParagraph"/>
      </w:pPr>
      <w:r>
        <w:rPr>
          <w:bCs/>
          <w:b/>
        </w:rPr>
        <w:t xml:space="preserve">Protocol ID:</w:t>
      </w:r>
      <w:r>
        <w:t xml:space="preserve"> </w:t>
      </w:r>
      <w:r>
        <w:t xml:space="preserve">UZ-TSK-BEH-2024-001</w:t>
      </w:r>
    </w:p>
    <w:p>
      <w:pPr>
        <w:pStyle w:val="BodyText"/>
      </w:pPr>
      <w:r>
        <w:rPr>
          <w:bCs/>
          <w:b/>
        </w:rPr>
        <w:t xml:space="preserve">Principal Investigator:</w:t>
      </w:r>
      <w:r>
        <w:t xml:space="preserve"> </w:t>
      </w:r>
      <w:r>
        <w:t xml:space="preserve">Lead Economist, Institute for Central Asian Economic Studies</w:t>
      </w:r>
    </w:p>
    <w:p>
      <w:pPr>
        <w:pStyle w:val="BodyText"/>
      </w:pPr>
      <w:r>
        <w:rPr>
          <w:bCs/>
          <w:b/>
        </w:rPr>
        <w:t xml:space="preserve">Location:</w:t>
      </w:r>
      <w:r>
        <w:t xml:space="preserve"> </w:t>
      </w:r>
      <w:r>
        <w:t xml:space="preserve">Tashkent, Uzbekistan</w:t>
      </w:r>
    </w:p>
    <w:p>
      <w:pPr>
        <w:pStyle w:val="BodyText"/>
      </w:pPr>
      <w:r>
        <w:rPr>
          <w:bCs/>
          <w:b/>
        </w:rPr>
        <w:t xml:space="preserve">Date of Revision:</w:t>
      </w:r>
      <w:r>
        <w:t xml:space="preserve"> </w:t>
      </w:r>
      <w:r>
        <w:t xml:space="preserve">October 24, 2024</w:t>
      </w:r>
    </w:p>
    <w:p>
      <w:pPr>
        <w:pStyle w:val="BodyText"/>
      </w:pPr>
      <w:r>
        <w:rPr>
          <w:bCs/>
          <w:b/>
        </w:rPr>
        <w:t xml:space="preserve">Status:</w:t>
      </w:r>
      <w:r>
        <w:t xml:space="preserve"> </w:t>
      </w:r>
      <w:r>
        <w:t xml:space="preserve">Approved for Field Implementation</w:t>
      </w:r>
    </w:p>
    <w:bookmarkStart w:id="20" w:name="introduction-and-background"/>
    <w:p>
      <w:pPr>
        <w:pStyle w:val="Heading2"/>
      </w:pPr>
      <w:r>
        <w:t xml:space="preserve">1. Introduction and Background</w:t>
      </w:r>
    </w:p>
    <w:p>
      <w:pPr>
        <w:pStyle w:val="FirstParagraph"/>
      </w:pPr>
      <w:r>
        <w:t xml:space="preserve">This document outlines the comprehensive</w:t>
      </w:r>
      <w:r>
        <w:t xml:space="preserve"> </w:t>
      </w:r>
      <w:r>
        <w:rPr>
          <w:bCs/>
          <w:b/>
        </w:rPr>
        <w:t xml:space="preserve">Experiment Protocol</w:t>
      </w:r>
      <w:r>
        <w:t xml:space="preserve"> </w:t>
      </w:r>
      <w:r>
        <w:t xml:space="preserve">designed to investigate behavioral economic anomalies within the rapidly evolving market environment of</w:t>
      </w:r>
      <w:r>
        <w:t xml:space="preserve"> </w:t>
      </w:r>
      <w:r>
        <w:rPr>
          <w:bCs/>
          <w:b/>
        </w:rPr>
        <w:t xml:space="preserve">Uzbekistan</w:t>
      </w:r>
      <w:r>
        <w:t xml:space="preserve">, specifically focusing on the capital city,</w:t>
      </w:r>
      <w:r>
        <w:t xml:space="preserve"> </w:t>
      </w:r>
      <w:r>
        <w:rPr>
          <w:bCs/>
          <w:b/>
        </w:rPr>
        <w:t xml:space="preserve">Tashkent</w:t>
      </w:r>
      <w:r>
        <w:t xml:space="preserve">. As an</w:t>
      </w:r>
      <w:r>
        <w:t xml:space="preserve"> </w:t>
      </w:r>
      <w:r>
        <w:rPr>
          <w:bCs/>
          <w:b/>
        </w:rPr>
        <w:t xml:space="preserve">Economist</w:t>
      </w:r>
      <w:r>
        <w:t xml:space="preserve"> </w:t>
      </w:r>
      <w:r>
        <w:t xml:space="preserve">specializing in transition economies, the objective is to move beyond standard rational choice theory to understand how cultural norms, trust mechanisms, and recent monetary reforms influence consumer and investor behavior.</w:t>
      </w:r>
    </w:p>
    <w:p>
      <w:pPr>
        <w:pStyle w:val="BodyText"/>
      </w:pPr>
      <w:r>
        <w:rPr>
          <w:bCs/>
          <w:b/>
        </w:rPr>
        <w:t xml:space="preserve">Tashkent</w:t>
      </w:r>
      <w:r>
        <w:t xml:space="preserve"> </w:t>
      </w:r>
      <w:r>
        <w:t xml:space="preserve">represents a unique laboratory for economic research. Following the liberalization of the foreign exchange market and the surge in digital financial inclusion, the population is navigating a complex landscape of traditional barter-like trust networks and modern fintech solutions. This experiment aims to quantify the friction between these two systems. The protocol is structured to ensure scientific rigor, ethical compliance, and cultural sensitivity appropriate for the Uzbek context.</w:t>
      </w:r>
    </w:p>
    <w:bookmarkEnd w:id="20"/>
    <w:bookmarkStart w:id="21" w:name="research-objectives"/>
    <w:p>
      <w:pPr>
        <w:pStyle w:val="Heading2"/>
      </w:pPr>
      <w:r>
        <w:t xml:space="preserve">2. Research Objectives</w:t>
      </w:r>
    </w:p>
    <w:p>
      <w:pPr>
        <w:pStyle w:val="FirstParagraph"/>
      </w:pPr>
      <w:r>
        <w:t xml:space="preserve">The primary goal of this study is to analyze the decision-making processes of residents in</w:t>
      </w:r>
      <w:r>
        <w:t xml:space="preserve"> </w:t>
      </w:r>
      <w:r>
        <w:rPr>
          <w:bCs/>
          <w:b/>
        </w:rPr>
        <w:t xml:space="preserve">Tashkent</w:t>
      </w:r>
      <w:r>
        <w:t xml:space="preserve"> </w:t>
      </w:r>
      <w:r>
        <w:t xml:space="preserve">under conditions of uncertainty and social pressure. Specifically, the</w:t>
      </w:r>
      <w:r>
        <w:t xml:space="preserve"> </w:t>
      </w:r>
      <w:r>
        <w:rPr>
          <w:bCs/>
          <w:b/>
        </w:rPr>
        <w:t xml:space="preserve">Economist</w:t>
      </w:r>
      <w:r>
        <w:t xml:space="preserve"> </w:t>
      </w:r>
      <w:r>
        <w:t xml:space="preserve">leading this study seeks to address the following hypotheses:</w:t>
      </w:r>
    </w:p>
    <w:p>
      <w:pPr>
        <w:numPr>
          <w:ilvl w:val="0"/>
          <w:numId w:val="1001"/>
        </w:numPr>
        <w:pStyle w:val="Compact"/>
      </w:pPr>
      <w:r>
        <w:rPr>
          <w:bCs/>
          <w:b/>
        </w:rPr>
        <w:t xml:space="preserve">The Trust Hypothesis:</w:t>
      </w:r>
      <w:r>
        <w:t xml:space="preserve"> </w:t>
      </w:r>
      <w:r>
        <w:t xml:space="preserve">Individuals in</w:t>
      </w:r>
      <w:r>
        <w:t xml:space="preserve"> </w:t>
      </w:r>
      <w:r>
        <w:rPr>
          <w:bCs/>
          <w:b/>
        </w:rPr>
        <w:t xml:space="preserve">Tashkent</w:t>
      </w:r>
      <w:r>
        <w:t xml:space="preserve"> </w:t>
      </w:r>
      <w:r>
        <w:t xml:space="preserve">exhibit higher risk tolerance in financial transactions when mediated by social networks compared to anonymous digital platforms.</w:t>
      </w:r>
    </w:p>
    <w:p>
      <w:pPr>
        <w:numPr>
          <w:ilvl w:val="0"/>
          <w:numId w:val="1001"/>
        </w:numPr>
        <w:pStyle w:val="Compact"/>
      </w:pPr>
      <w:r>
        <w:rPr>
          <w:bCs/>
          <w:b/>
        </w:rPr>
        <w:t xml:space="preserve">The Inflation Expectation Hypothesis:</w:t>
      </w:r>
      <w:r>
        <w:t xml:space="preserve"> </w:t>
      </w:r>
      <w:r>
        <w:t xml:space="preserve">Recent volatility in the Uzbek Som has altered the time-preference rates of consumers, leading to a measurable shift toward immediate gratification over long-term savings.</w:t>
      </w:r>
    </w:p>
    <w:p>
      <w:pPr>
        <w:numPr>
          <w:ilvl w:val="0"/>
          <w:numId w:val="1001"/>
        </w:numPr>
        <w:pStyle w:val="Compact"/>
      </w:pPr>
      <w:r>
        <w:rPr>
          <w:bCs/>
          <w:b/>
        </w:rPr>
        <w:t xml:space="preserve">The Digital Adoption Hypothesis:</w:t>
      </w:r>
      <w:r>
        <w:t xml:space="preserve"> </w:t>
      </w:r>
      <w:r>
        <w:t xml:space="preserve">There is a significant correlation between age and the acceptance of algorithmic financial advice versus traditional word-of-mouth recommendations.</w:t>
      </w:r>
    </w:p>
    <w:bookmarkEnd w:id="21"/>
    <w:bookmarkStart w:id="24" w:name="methodology-and-experimental-design"/>
    <w:p>
      <w:pPr>
        <w:pStyle w:val="Heading2"/>
      </w:pPr>
      <w:r>
        <w:t xml:space="preserve">3. Methodology and Experimental Design</w:t>
      </w:r>
    </w:p>
    <w:p>
      <w:pPr>
        <w:pStyle w:val="FirstParagraph"/>
      </w:pPr>
      <w:r>
        <w:t xml:space="preserve">This</w:t>
      </w:r>
      <w:r>
        <w:t xml:space="preserve"> </w:t>
      </w:r>
      <w:r>
        <w:rPr>
          <w:bCs/>
          <w:b/>
        </w:rPr>
        <w:t xml:space="preserve">Experiment Protocol</w:t>
      </w:r>
      <w:r>
        <w:t xml:space="preserve"> </w:t>
      </w:r>
      <w:r>
        <w:t xml:space="preserve">utilizes a mixed-methods approach, combining controlled field experiments with structured surveys. The design is tailored to the logistical realities of conducting research in</w:t>
      </w:r>
      <w:r>
        <w:t xml:space="preserve"> </w:t>
      </w:r>
      <w:r>
        <w:rPr>
          <w:bCs/>
          <w:b/>
        </w:rPr>
        <w:t xml:space="preserve">Uzbekistan</w:t>
      </w:r>
      <w:r>
        <w:t xml:space="preserve">.</w:t>
      </w:r>
    </w:p>
    <w:bookmarkStart w:id="22" w:name="study-population-and-sampling"/>
    <w:p>
      <w:pPr>
        <w:pStyle w:val="Heading3"/>
      </w:pPr>
      <w:r>
        <w:t xml:space="preserve">3.1 Study Population and Sampling</w:t>
      </w:r>
    </w:p>
    <w:p>
      <w:pPr>
        <w:pStyle w:val="FirstParagraph"/>
      </w:pPr>
      <w:r>
        <w:t xml:space="preserve">The target population consists of adults aged 18 to 65 residing in</w:t>
      </w:r>
      <w:r>
        <w:t xml:space="preserve"> </w:t>
      </w:r>
      <w:r>
        <w:rPr>
          <w:bCs/>
          <w:b/>
        </w:rPr>
        <w:t xml:space="preserve">Tashkent</w:t>
      </w:r>
      <w:r>
        <w:t xml:space="preserve">. To ensure a representative sample, stratified random sampling will be employed across three distinct districts:</w:t>
      </w:r>
    </w:p>
    <w:p>
      <w:pPr>
        <w:numPr>
          <w:ilvl w:val="0"/>
          <w:numId w:val="1002"/>
        </w:numPr>
        <w:pStyle w:val="Compact"/>
      </w:pPr>
      <w:r>
        <w:rPr>
          <w:bCs/>
          <w:b/>
        </w:rPr>
        <w:t xml:space="preserve">Yunusabad District:</w:t>
      </w:r>
      <w:r>
        <w:t xml:space="preserve"> </w:t>
      </w:r>
      <w:r>
        <w:t xml:space="preserve">Representing the commercial and expatriate hub.</w:t>
      </w:r>
    </w:p>
    <w:p>
      <w:pPr>
        <w:numPr>
          <w:ilvl w:val="0"/>
          <w:numId w:val="1002"/>
        </w:numPr>
        <w:pStyle w:val="Compact"/>
      </w:pPr>
      <w:r>
        <w:rPr>
          <w:bCs/>
          <w:b/>
        </w:rPr>
        <w:t xml:space="preserve">Chilonzor District:</w:t>
      </w:r>
      <w:r>
        <w:t xml:space="preserve"> </w:t>
      </w:r>
      <w:r>
        <w:t xml:space="preserve">Representing high-density residential areas with diverse income levels.</w:t>
      </w:r>
    </w:p>
    <w:p>
      <w:pPr>
        <w:numPr>
          <w:ilvl w:val="0"/>
          <w:numId w:val="1002"/>
        </w:numPr>
        <w:pStyle w:val="Compact"/>
      </w:pPr>
      <w:r>
        <w:rPr>
          <w:bCs/>
          <w:b/>
        </w:rPr>
        <w:t xml:space="preserve">Mirzo Ulugbek District:</w:t>
      </w:r>
      <w:r>
        <w:t xml:space="preserve"> </w:t>
      </w:r>
      <w:r>
        <w:t xml:space="preserve">Representing the tech-savvy, younger demographic.</w:t>
      </w:r>
    </w:p>
    <w:p>
      <w:pPr>
        <w:pStyle w:val="FirstParagraph"/>
      </w:pPr>
      <w:r>
        <w:t xml:space="preserve">A total of 600 participants will be recruited. Recruitment will occur through community centers, universities, and public markets (bazaars) to capture a wide spectrum of economic behaviors.</w:t>
      </w:r>
    </w:p>
    <w:bookmarkEnd w:id="22"/>
    <w:bookmarkStart w:id="23" w:name="experimental-tasks"/>
    <w:p>
      <w:pPr>
        <w:pStyle w:val="Heading3"/>
      </w:pPr>
      <w:r>
        <w:t xml:space="preserve">3.2 Experimental Tasks</w:t>
      </w:r>
    </w:p>
    <w:p>
      <w:pPr>
        <w:pStyle w:val="FirstParagraph"/>
      </w:pPr>
      <w:r>
        <w:t xml:space="preserve">Participants will engage in three distinct modules designed by the lead</w:t>
      </w:r>
      <w:r>
        <w:t xml:space="preserve"> </w:t>
      </w:r>
      <w:r>
        <w:rPr>
          <w:bCs/>
          <w:b/>
        </w:rPr>
        <w:t xml:space="preserve">Economist</w:t>
      </w:r>
      <w:r>
        <w:t xml:space="preserve"> </w:t>
      </w:r>
      <w:r>
        <w:t xml:space="preserve">to test specific behavioral traits: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Module</w:t>
            </w:r>
          </w:p>
        </w:tc>
        <w:tc>
          <w:tcPr/>
          <w:p>
            <w:pPr>
              <w:pStyle w:val="Compact"/>
              <w:jc w:val="left"/>
            </w:pPr>
            <w:r>
              <w:t xml:space="preserve">Description</w:t>
            </w:r>
          </w:p>
        </w:tc>
        <w:tc>
          <w:tcPr/>
          <w:p>
            <w:pPr>
              <w:pStyle w:val="Compact"/>
              <w:jc w:val="left"/>
            </w:pPr>
            <w:r>
              <w:t xml:space="preserve">Objective</w:t>
            </w:r>
          </w:p>
        </w:tc>
      </w:tr>
      <w:tr>
        <w:tc>
          <w:tcPr/>
          <w:p>
            <w:pPr>
              <w:pStyle w:val="Compact"/>
              <w:jc w:val="left"/>
            </w:pPr>
            <w:r>
              <w:rPr>
                <w:bCs/>
                <w:b/>
              </w:rPr>
              <w:t xml:space="preserve">Trust Game</w:t>
            </w:r>
          </w:p>
        </w:tc>
        <w:tc>
          <w:tcPr/>
          <w:p>
            <w:pPr>
              <w:pStyle w:val="Compact"/>
              <w:jc w:val="left"/>
            </w:pPr>
            <w:r>
              <w:t xml:space="preserve">Participants are given a sum of Uzbek Som and must decide how much to send to an anonymous partner or a known acquaintance, with the amount multiplied by the system.</w:t>
            </w:r>
          </w:p>
        </w:tc>
        <w:tc>
          <w:tcPr/>
          <w:p>
            <w:pPr>
              <w:pStyle w:val="Compact"/>
              <w:jc w:val="left"/>
            </w:pPr>
            <w:r>
              <w:t xml:space="preserve">Measure social capital and trust levels in financial exchanges.</w:t>
            </w:r>
          </w:p>
        </w:tc>
      </w:tr>
      <w:tr>
        <w:tc>
          <w:tcPr/>
          <w:p>
            <w:pPr>
              <w:pStyle w:val="Compact"/>
              <w:jc w:val="left"/>
            </w:pPr>
            <w:r>
              <w:rPr>
                <w:bCs/>
                <w:b/>
              </w:rPr>
              <w:t xml:space="preserve">Intertemporal Choice</w:t>
            </w:r>
          </w:p>
        </w:tc>
        <w:tc>
          <w:tcPr/>
          <w:p>
            <w:pPr>
              <w:pStyle w:val="Compact"/>
              <w:jc w:val="left"/>
            </w:pPr>
            <w:r>
              <w:t xml:space="preserve">Participants choose between receiving a smaller sum of money immediately or a larger sum in three months.</w:t>
            </w:r>
          </w:p>
        </w:tc>
        <w:tc>
          <w:tcPr/>
          <w:p>
            <w:pPr>
              <w:pStyle w:val="Compact"/>
              <w:jc w:val="left"/>
            </w:pPr>
            <w:r>
              <w:t xml:space="preserve">Assess discount rates and the impact of inflation expectations.</w:t>
            </w:r>
          </w:p>
        </w:tc>
      </w:tr>
      <w:tr>
        <w:tc>
          <w:tcPr/>
          <w:p>
            <w:pPr>
              <w:pStyle w:val="Compact"/>
              <w:jc w:val="left"/>
            </w:pPr>
            <w:r>
              <w:rPr>
                <w:bCs/>
                <w:b/>
              </w:rPr>
              <w:t xml:space="preserve">Risk Framing</w:t>
            </w:r>
          </w:p>
        </w:tc>
        <w:tc>
          <w:tcPr/>
          <w:p>
            <w:pPr>
              <w:pStyle w:val="Compact"/>
              <w:jc w:val="left"/>
            </w:pPr>
            <w:r>
              <w:t xml:space="preserve">Participants evaluate investment opportunities presented with either positive framing (gains) or negative framing (losses).</w:t>
            </w:r>
          </w:p>
        </w:tc>
        <w:tc>
          <w:tcPr/>
          <w:p>
            <w:pPr>
              <w:pStyle w:val="Compact"/>
              <w:jc w:val="left"/>
            </w:pPr>
            <w:r>
              <w:t xml:space="preserve">Determine susceptibility to framing effects in investment decisions.</w:t>
            </w:r>
          </w:p>
        </w:tc>
      </w:tr>
    </w:tbl>
    <w:bookmarkEnd w:id="23"/>
    <w:bookmarkEnd w:id="24"/>
    <w:bookmarkStart w:id="25" w:name="data-collection-procedures"/>
    <w:p>
      <w:pPr>
        <w:pStyle w:val="Heading2"/>
      </w:pPr>
      <w:r>
        <w:t xml:space="preserve">4. Data Collection Procedures</w:t>
      </w:r>
    </w:p>
    <w:p>
      <w:pPr>
        <w:pStyle w:val="FirstParagraph"/>
      </w:pPr>
      <w:r>
        <w:t xml:space="preserve">Data collection will take place over a period of six weeks. To accommodate the linguistic landscape of</w:t>
      </w:r>
      <w:r>
        <w:t xml:space="preserve"> </w:t>
      </w:r>
      <w:r>
        <w:rPr>
          <w:bCs/>
          <w:b/>
        </w:rPr>
        <w:t xml:space="preserve">Tashkent</w:t>
      </w:r>
      <w:r>
        <w:t xml:space="preserve">, all materials will be provided in both Uzbek and Russian. Trained research assistants will administer the experiments using tablet-based software to ensure data integrity and minimize human error.</w:t>
      </w:r>
    </w:p>
    <w:p>
      <w:pPr>
        <w:pStyle w:val="BodyText"/>
      </w:pPr>
      <w:r>
        <w:t xml:space="preserve">The</w:t>
      </w:r>
      <w:r>
        <w:t xml:space="preserve"> </w:t>
      </w:r>
      <w:r>
        <w:rPr>
          <w:bCs/>
          <w:b/>
        </w:rPr>
        <w:t xml:space="preserve">Economist</w:t>
      </w:r>
      <w:r>
        <w:t xml:space="preserve"> </w:t>
      </w:r>
      <w:r>
        <w:t xml:space="preserve">overseeing the project will conduct daily debriefings with the field team to monitor for any procedural deviations. Special attention will be paid to ensuring that participants fully understand the hypothetical nature of the financial stakes, while maintaining the psychological realism of the scenarios.</w:t>
      </w:r>
    </w:p>
    <w:bookmarkEnd w:id="25"/>
    <w:bookmarkStart w:id="26" w:name="ethical-considerations"/>
    <w:p>
      <w:pPr>
        <w:pStyle w:val="Heading2"/>
      </w:pPr>
      <w:r>
        <w:t xml:space="preserve">5. Ethical Considerations</w:t>
      </w:r>
    </w:p>
    <w:p>
      <w:pPr>
        <w:pStyle w:val="FirstParagraph"/>
      </w:pPr>
      <w:r>
        <w:t xml:space="preserve">This</w:t>
      </w:r>
      <w:r>
        <w:t xml:space="preserve"> </w:t>
      </w:r>
      <w:r>
        <w:rPr>
          <w:bCs/>
          <w:b/>
        </w:rPr>
        <w:t xml:space="preserve">Experiment Protocol</w:t>
      </w:r>
      <w:r>
        <w:t xml:space="preserve"> </w:t>
      </w:r>
      <w:r>
        <w:t xml:space="preserve">strictly adheres to international ethical standards for research involving human subjects. Prior to participation, all individuals will provide informed consent. Key ethical safeguards include:</w:t>
      </w:r>
    </w:p>
    <w:p>
      <w:pPr>
        <w:numPr>
          <w:ilvl w:val="0"/>
          <w:numId w:val="1003"/>
        </w:numPr>
        <w:pStyle w:val="Compact"/>
      </w:pPr>
      <w:r>
        <w:rPr>
          <w:bCs/>
          <w:b/>
        </w:rPr>
        <w:t xml:space="preserve">Anonymity:</w:t>
      </w:r>
      <w:r>
        <w:t xml:space="preserve"> </w:t>
      </w:r>
      <w:r>
        <w:t xml:space="preserve">No personally identifiable information will be linked to the experimental data in the final analysis.</w:t>
      </w:r>
    </w:p>
    <w:p>
      <w:pPr>
        <w:numPr>
          <w:ilvl w:val="0"/>
          <w:numId w:val="1003"/>
        </w:numPr>
        <w:pStyle w:val="Compact"/>
      </w:pPr>
      <w:r>
        <w:rPr>
          <w:bCs/>
          <w:b/>
        </w:rPr>
        <w:t xml:space="preserve">Voluntary Participation:</w:t>
      </w:r>
      <w:r>
        <w:t xml:space="preserve"> </w:t>
      </w:r>
      <w:r>
        <w:t xml:space="preserve">Participants may withdraw at any time without penalty.</w:t>
      </w:r>
    </w:p>
    <w:p>
      <w:pPr>
        <w:numPr>
          <w:ilvl w:val="0"/>
          <w:numId w:val="1003"/>
        </w:numPr>
        <w:pStyle w:val="Compact"/>
      </w:pPr>
      <w:r>
        <w:rPr>
          <w:bCs/>
          <w:b/>
        </w:rPr>
        <w:t xml:space="preserve">Cultural Respect:</w:t>
      </w:r>
      <w:r>
        <w:t xml:space="preserve"> </w:t>
      </w:r>
      <w:r>
        <w:t xml:space="preserve">The experiment design avoids topics that may be culturally sensitive or politically charged within the current context of</w:t>
      </w:r>
      <w:r>
        <w:t xml:space="preserve"> </w:t>
      </w:r>
      <w:r>
        <w:rPr>
          <w:bCs/>
          <w:b/>
        </w:rPr>
        <w:t xml:space="preserve">Uzbekistan</w:t>
      </w:r>
      <w:r>
        <w:t xml:space="preserve">.</w:t>
      </w:r>
    </w:p>
    <w:p>
      <w:pPr>
        <w:numPr>
          <w:ilvl w:val="0"/>
          <w:numId w:val="1003"/>
        </w:numPr>
        <w:pStyle w:val="Compact"/>
      </w:pPr>
      <w:r>
        <w:rPr>
          <w:bCs/>
          <w:b/>
        </w:rPr>
        <w:t xml:space="preserve">Compensation:</w:t>
      </w:r>
      <w:r>
        <w:t xml:space="preserve"> </w:t>
      </w:r>
      <w:r>
        <w:t xml:space="preserve">Participants will receive a modest financial incentive in Uzbek Som for their time, calibrated to be fair but not coercive.</w:t>
      </w:r>
    </w:p>
    <w:bookmarkEnd w:id="26"/>
    <w:bookmarkStart w:id="27" w:name="data-analysis-plan"/>
    <w:p>
      <w:pPr>
        <w:pStyle w:val="Heading2"/>
      </w:pPr>
      <w:r>
        <w:t xml:space="preserve">6. Data Analysis Plan</w:t>
      </w:r>
    </w:p>
    <w:p>
      <w:pPr>
        <w:pStyle w:val="FirstParagraph"/>
      </w:pPr>
      <w:r>
        <w:t xml:space="preserve">Upon completion of the fieldwork in</w:t>
      </w:r>
      <w:r>
        <w:t xml:space="preserve"> </w:t>
      </w:r>
      <w:r>
        <w:rPr>
          <w:bCs/>
          <w:b/>
        </w:rPr>
        <w:t xml:space="preserve">Tashkent</w:t>
      </w:r>
      <w:r>
        <w:t xml:space="preserve">, the data will be cleaned and analyzed using econometric software. The lead</w:t>
      </w:r>
      <w:r>
        <w:t xml:space="preserve"> </w:t>
      </w:r>
      <w:r>
        <w:rPr>
          <w:bCs/>
          <w:b/>
        </w:rPr>
        <w:t xml:space="preserve">Economist</w:t>
      </w:r>
      <w:r>
        <w:t xml:space="preserve"> </w:t>
      </w:r>
      <w:r>
        <w:t xml:space="preserve">will employ regression analysis to control for demographic variables such as age, income, and education level. The results will be compared against existing literature on behavioral economics in Central Asia to identify unique regional patterns.</w:t>
      </w:r>
    </w:p>
    <w:p>
      <w:pPr>
        <w:pStyle w:val="BodyText"/>
      </w:pPr>
      <w:r>
        <w:t xml:space="preserve">Particular focus will be placed on segmenting the data to understand how the rapid modernization of</w:t>
      </w:r>
      <w:r>
        <w:t xml:space="preserve"> </w:t>
      </w:r>
      <w:r>
        <w:rPr>
          <w:bCs/>
          <w:b/>
        </w:rPr>
        <w:t xml:space="preserve">Tashkent</w:t>
      </w:r>
      <w:r>
        <w:t xml:space="preserve"> </w:t>
      </w:r>
      <w:r>
        <w:t xml:space="preserve">is creating divergent economic behaviors between generations.</w:t>
      </w:r>
    </w:p>
    <w:bookmarkEnd w:id="27"/>
    <w:bookmarkStart w:id="28" w:name="dissemination-of-results"/>
    <w:p>
      <w:pPr>
        <w:pStyle w:val="Heading2"/>
      </w:pPr>
      <w:r>
        <w:t xml:space="preserve">7. Dissemination of Results</w:t>
      </w:r>
    </w:p>
    <w:p>
      <w:pPr>
        <w:pStyle w:val="FirstParagraph"/>
      </w:pPr>
      <w:r>
        <w:t xml:space="preserve">The findings from this</w:t>
      </w:r>
      <w:r>
        <w:t xml:space="preserve"> </w:t>
      </w:r>
      <w:r>
        <w:rPr>
          <w:bCs/>
          <w:b/>
        </w:rPr>
        <w:t xml:space="preserve">Experiment Protocol</w:t>
      </w:r>
      <w:r>
        <w:t xml:space="preserve"> </w:t>
      </w:r>
      <w:r>
        <w:t xml:space="preserve">will be disseminated through academic journals, policy briefs for the Central Bank of</w:t>
      </w:r>
      <w:r>
        <w:t xml:space="preserve"> </w:t>
      </w:r>
      <w:r>
        <w:rPr>
          <w:bCs/>
          <w:b/>
        </w:rPr>
        <w:t xml:space="preserve">Uzbekistan</w:t>
      </w:r>
      <w:r>
        <w:t xml:space="preserve">, and public workshops in</w:t>
      </w:r>
      <w:r>
        <w:t xml:space="preserve"> </w:t>
      </w:r>
      <w:r>
        <w:rPr>
          <w:bCs/>
          <w:b/>
        </w:rPr>
        <w:t xml:space="preserve">Tashkent</w:t>
      </w:r>
      <w:r>
        <w:t xml:space="preserve">. The ultimate aim is to provide actionable insights that can help policymakers design more effective financial literacy programs and regulatory frameworks that align with the actual behavioral tendencies of the population.</w:t>
      </w:r>
    </w:p>
    <w:p>
      <w:pPr>
        <w:pStyle w:val="BodyText"/>
      </w:pPr>
      <w:r>
        <w:t xml:space="preserve">© 2024 Institute for Central Asian Economic Studies. All rights reserved.</w:t>
      </w:r>
      <w:r>
        <w:br/>
      </w:r>
      <w:r>
        <w:t xml:space="preserve">This document is confidential and intended for authorized personnel only.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Behavioral Economics in Tashkent</dc:title>
  <dc:creator/>
  <dc:language>en</dc:language>
  <cp:keywords/>
  <dcterms:created xsi:type="dcterms:W3CDTF">2026-10-10T10:21:10Z</dcterms:created>
  <dcterms:modified xsi:type="dcterms:W3CDTF">2026-10-10T10:21:10Z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