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Nepal</w:t>
      </w:r>
      <w:r>
        <w:t xml:space="preserve"> </w:t>
      </w:r>
      <w:r>
        <w:t xml:space="preserve">Kathmandu</w:t>
      </w:r>
    </w:p>
    <w:bookmarkStart w:id="20" w:name="Xa72f3bfe6fdc0db5524e874bee6d9b3c071d214"/>
    <w:p>
      <w:pPr>
        <w:pStyle w:val="Heading1"/>
      </w:pPr>
      <w:r>
        <w:t xml:space="preserve">Experiment Protocol: Editor Deployment and Evaluation in Nepal Kathmandu</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Evaluation of a specialized text Editor under local environmental and user conditions</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approach for testing and evaluating a new software Editor within the unique context of Nepal Kathmandu. The Editor is designed to support multilingual content creation, offline functionality, and low-bandwidth environments. Given the diverse linguistic landscape, intermittent connectivity, and varied hardware conditions in Kathmandu, this protocol ensures that the Editor meets the practical needs of local users.</w:t>
      </w:r>
    </w:p>
    <w:p>
      <w:pPr>
        <w:pStyle w:val="BodyText"/>
      </w:pPr>
      <w:r>
        <w:t xml:space="preserve">The primary goal is to assess usability, performance, accessibility, and cultural appropriateness of the Editor among a representative sample of users in Kathmandu. This includes students, journalists, government workers, and content creators who rely on digital tools for daily tasks.</w:t>
      </w:r>
    </w:p>
    <w:bookmarkEnd w:id="21"/>
    <w:bookmarkStart w:id="22" w:name="objectives"/>
    <w:p>
      <w:pPr>
        <w:pStyle w:val="Heading2"/>
      </w:pPr>
      <w:r>
        <w:t xml:space="preserve">2. Objectives</w:t>
      </w:r>
    </w:p>
    <w:p>
      <w:pPr>
        <w:numPr>
          <w:ilvl w:val="0"/>
          <w:numId w:val="1001"/>
        </w:numPr>
        <w:pStyle w:val="Compact"/>
      </w:pPr>
      <w:r>
        <w:t xml:space="preserve">Evaluate the Editor’s performance on devices commonly used in Nepal Kathmandu, including low-end laptops and mobile devices.</w:t>
      </w:r>
    </w:p>
    <w:p>
      <w:pPr>
        <w:numPr>
          <w:ilvl w:val="0"/>
          <w:numId w:val="1001"/>
        </w:numPr>
        <w:pStyle w:val="Compact"/>
      </w:pPr>
      <w:r>
        <w:t xml:space="preserve">Assess the Editor’s support for Nepali language input, including Devanagari script rendering and IME compatibility.</w:t>
      </w:r>
    </w:p>
    <w:p>
      <w:pPr>
        <w:numPr>
          <w:ilvl w:val="0"/>
          <w:numId w:val="1001"/>
        </w:numPr>
        <w:pStyle w:val="Compact"/>
      </w:pPr>
      <w:r>
        <w:t xml:space="preserve">Determine the Editor’s usability under intermittent internet connectivity, simulating real-world conditions in Kathmandu.</w:t>
      </w:r>
    </w:p>
    <w:p>
      <w:pPr>
        <w:numPr>
          <w:ilvl w:val="0"/>
          <w:numId w:val="1001"/>
        </w:numPr>
        <w:pStyle w:val="Compact"/>
      </w:pPr>
      <w:r>
        <w:t xml:space="preserve">Gather user feedback on interface design, workflow efficiency, and cultural relevance.</w:t>
      </w:r>
    </w:p>
    <w:p>
      <w:pPr>
        <w:numPr>
          <w:ilvl w:val="0"/>
          <w:numId w:val="1001"/>
        </w:numPr>
        <w:pStyle w:val="Compact"/>
      </w:pPr>
      <w:r>
        <w:t xml:space="preserve">Identify technical issues, bugs, or limitations specific to the local environment.</w:t>
      </w:r>
    </w:p>
    <w:bookmarkEnd w:id="22"/>
    <w:bookmarkStart w:id="23" w:name="scope"/>
    <w:p>
      <w:pPr>
        <w:pStyle w:val="Heading2"/>
      </w:pPr>
      <w:r>
        <w:t xml:space="preserve">3. Scope</w:t>
      </w:r>
    </w:p>
    <w:p>
      <w:pPr>
        <w:pStyle w:val="FirstParagraph"/>
      </w:pPr>
      <w:r>
        <w:t xml:space="preserve">This Experiment Protocol applies to all phases of the Editor’s testing in Nepal Kathmandu, including:</w:t>
      </w:r>
    </w:p>
    <w:p>
      <w:pPr>
        <w:numPr>
          <w:ilvl w:val="0"/>
          <w:numId w:val="1002"/>
        </w:numPr>
        <w:pStyle w:val="Compact"/>
      </w:pPr>
      <w:r>
        <w:t xml:space="preserve">Pre-deployment setup and configuration</w:t>
      </w:r>
    </w:p>
    <w:p>
      <w:pPr>
        <w:numPr>
          <w:ilvl w:val="0"/>
          <w:numId w:val="1002"/>
        </w:numPr>
        <w:pStyle w:val="Compact"/>
      </w:pPr>
      <w:r>
        <w:t xml:space="preserve">User recruitment and training</w:t>
      </w:r>
    </w:p>
    <w:p>
      <w:pPr>
        <w:numPr>
          <w:ilvl w:val="0"/>
          <w:numId w:val="1002"/>
        </w:numPr>
        <w:pStyle w:val="Compact"/>
      </w:pPr>
      <w:r>
        <w:t xml:space="preserve">Controlled and field testing scenarios</w:t>
      </w:r>
    </w:p>
    <w:p>
      <w:pPr>
        <w:numPr>
          <w:ilvl w:val="0"/>
          <w:numId w:val="1002"/>
        </w:numPr>
        <w:pStyle w:val="Compact"/>
      </w:pPr>
      <w:r>
        <w:t xml:space="preserve">Data collection and analysis</w:t>
      </w:r>
    </w:p>
    <w:p>
      <w:pPr>
        <w:numPr>
          <w:ilvl w:val="0"/>
          <w:numId w:val="1002"/>
        </w:numPr>
        <w:pStyle w:val="Compact"/>
      </w:pPr>
      <w:r>
        <w:t xml:space="preserve">Reporting and recommendations</w:t>
      </w:r>
    </w:p>
    <w:p>
      <w:pPr>
        <w:pStyle w:val="FirstParagraph"/>
      </w:pPr>
      <w:r>
        <w:t xml:space="preserve">The scope is limited to the Kathmandu Valley, including Kathmandu, Lalitpur, and Bhaktapur municipalities, to ensure geographic and cultural consistency.</w:t>
      </w:r>
    </w:p>
    <w:bookmarkEnd w:id="23"/>
    <w:bookmarkStart w:id="27" w:name="methodology"/>
    <w:p>
      <w:pPr>
        <w:pStyle w:val="Heading2"/>
      </w:pPr>
      <w:r>
        <w:t xml:space="preserve">4. Methodology</w:t>
      </w:r>
    </w:p>
    <w:bookmarkStart w:id="24" w:name="user-recruitment"/>
    <w:p>
      <w:pPr>
        <w:pStyle w:val="Heading3"/>
      </w:pPr>
      <w:r>
        <w:t xml:space="preserve">4.1. User Recruitment</w:t>
      </w:r>
    </w:p>
    <w:p>
      <w:pPr>
        <w:pStyle w:val="FirstParagraph"/>
      </w:pPr>
      <w:r>
        <w:t xml:space="preserve">A total of 50 participants will be recruited from diverse backgrounds in Nepal Kathmandu, including:</w:t>
      </w:r>
    </w:p>
    <w:p>
      <w:pPr>
        <w:numPr>
          <w:ilvl w:val="0"/>
          <w:numId w:val="1003"/>
        </w:numPr>
        <w:pStyle w:val="Compact"/>
      </w:pPr>
      <w:r>
        <w:t xml:space="preserve">University students (15)</w:t>
      </w:r>
    </w:p>
    <w:p>
      <w:pPr>
        <w:numPr>
          <w:ilvl w:val="0"/>
          <w:numId w:val="1003"/>
        </w:numPr>
        <w:pStyle w:val="Compact"/>
      </w:pPr>
      <w:r>
        <w:t xml:space="preserve">Journalists and content writers (10)</w:t>
      </w:r>
    </w:p>
    <w:p>
      <w:pPr>
        <w:numPr>
          <w:ilvl w:val="0"/>
          <w:numId w:val="1003"/>
        </w:numPr>
        <w:pStyle w:val="Compact"/>
      </w:pPr>
      <w:r>
        <w:t xml:space="preserve">Government office workers (10)</w:t>
      </w:r>
    </w:p>
    <w:p>
      <w:pPr>
        <w:numPr>
          <w:ilvl w:val="0"/>
          <w:numId w:val="1003"/>
        </w:numPr>
        <w:pStyle w:val="Compact"/>
      </w:pPr>
      <w:r>
        <w:t xml:space="preserve">NGO staff and educators (10)</w:t>
      </w:r>
    </w:p>
    <w:p>
      <w:pPr>
        <w:numPr>
          <w:ilvl w:val="0"/>
          <w:numId w:val="1003"/>
        </w:numPr>
        <w:pStyle w:val="Compact"/>
      </w:pPr>
      <w:r>
        <w:t xml:space="preserve">Freelance digital creators (5)</w:t>
      </w:r>
    </w:p>
    <w:p>
      <w:pPr>
        <w:pStyle w:val="FirstParagraph"/>
      </w:pPr>
      <w:r>
        <w:t xml:space="preserve">Participants will be selected based on their regular use of digital text editing tools and proficiency in Nepali and English.</w:t>
      </w:r>
    </w:p>
    <w:bookmarkEnd w:id="24"/>
    <w:bookmarkStart w:id="25" w:name="testing-environment"/>
    <w:p>
      <w:pPr>
        <w:pStyle w:val="Heading3"/>
      </w:pPr>
      <w:r>
        <w:t xml:space="preserve">4.2. Testing Environment</w:t>
      </w:r>
    </w:p>
    <w:p>
      <w:pPr>
        <w:pStyle w:val="FirstParagraph"/>
      </w:pPr>
      <w:r>
        <w:t xml:space="preserve">Testing will occur in two settings:</w:t>
      </w:r>
    </w:p>
    <w:p>
      <w:pPr>
        <w:numPr>
          <w:ilvl w:val="0"/>
          <w:numId w:val="1004"/>
        </w:numPr>
        <w:pStyle w:val="Compact"/>
      </w:pPr>
      <w:r>
        <w:rPr>
          <w:bCs/>
          <w:b/>
        </w:rPr>
        <w:t xml:space="preserve">Controlled Lab Environment:</w:t>
      </w:r>
      <w:r>
        <w:t xml:space="preserve"> </w:t>
      </w:r>
      <w:r>
        <w:t xml:space="preserve">A dedicated testing facility in central Kathmandu with standardized hardware and network conditions.</w:t>
      </w:r>
    </w:p>
    <w:p>
      <w:pPr>
        <w:numPr>
          <w:ilvl w:val="0"/>
          <w:numId w:val="1004"/>
        </w:numPr>
        <w:pStyle w:val="Compact"/>
      </w:pPr>
      <w:r>
        <w:rPr>
          <w:bCs/>
          <w:b/>
        </w:rPr>
        <w:t xml:space="preserve">Field Environment:</w:t>
      </w:r>
      <w:r>
        <w:t xml:space="preserve"> </w:t>
      </w:r>
      <w:r>
        <w:t xml:space="preserve">Participants’ own devices and workspaces across Kathmandu, reflecting real-world usage patterns.</w:t>
      </w:r>
    </w:p>
    <w:bookmarkEnd w:id="25"/>
    <w:bookmarkStart w:id="26" w:name="testing-scenarios"/>
    <w:p>
      <w:pPr>
        <w:pStyle w:val="Heading3"/>
      </w:pPr>
      <w:r>
        <w:t xml:space="preserve">4.3. Testing Scenarios</w:t>
      </w:r>
    </w:p>
    <w:p>
      <w:pPr>
        <w:pStyle w:val="FirstParagraph"/>
      </w:pPr>
      <w:r>
        <w:t xml:space="preserve">Participants will complete a series of tasks using the Editor, including:</w:t>
      </w:r>
    </w:p>
    <w:p>
      <w:pPr>
        <w:numPr>
          <w:ilvl w:val="0"/>
          <w:numId w:val="1005"/>
        </w:numPr>
        <w:pStyle w:val="Compact"/>
      </w:pPr>
      <w:r>
        <w:t xml:space="preserve">Creating and editing documents in Nepali and English</w:t>
      </w:r>
    </w:p>
    <w:p>
      <w:pPr>
        <w:numPr>
          <w:ilvl w:val="0"/>
          <w:numId w:val="1005"/>
        </w:numPr>
        <w:pStyle w:val="Compact"/>
      </w:pPr>
      <w:r>
        <w:t xml:space="preserve">Using offline features during simulated network outages</w:t>
      </w:r>
    </w:p>
    <w:p>
      <w:pPr>
        <w:numPr>
          <w:ilvl w:val="0"/>
          <w:numId w:val="1005"/>
        </w:numPr>
        <w:pStyle w:val="Compact"/>
      </w:pPr>
      <w:r>
        <w:t xml:space="preserve">Collaborating on shared documents with other users</w:t>
      </w:r>
    </w:p>
    <w:p>
      <w:pPr>
        <w:numPr>
          <w:ilvl w:val="0"/>
          <w:numId w:val="1005"/>
        </w:numPr>
        <w:pStyle w:val="Compact"/>
      </w:pPr>
      <w:r>
        <w:t xml:space="preserve">Importing and exporting files in common formats (DOCX, PDF, TXT)</w:t>
      </w:r>
    </w:p>
    <w:p>
      <w:pPr>
        <w:numPr>
          <w:ilvl w:val="0"/>
          <w:numId w:val="1005"/>
        </w:numPr>
        <w:pStyle w:val="Compact"/>
      </w:pPr>
      <w:r>
        <w:t xml:space="preserve">Customizing interface settings and keyboard shortcuts</w:t>
      </w:r>
    </w:p>
    <w:bookmarkEnd w:id="26"/>
    <w:bookmarkEnd w:id="27"/>
    <w:bookmarkStart w:id="28" w:name="data-collection"/>
    <w:p>
      <w:pPr>
        <w:pStyle w:val="Heading2"/>
      </w:pPr>
      <w:r>
        <w:t xml:space="preserve">5. Data Collection</w:t>
      </w:r>
    </w:p>
    <w:p>
      <w:pPr>
        <w:pStyle w:val="FirstParagraph"/>
      </w:pPr>
      <w:r>
        <w:t xml:space="preserve">Data will be collected through multiple methods to ensure comprehensive evaluation:</w:t>
      </w:r>
    </w:p>
    <w:p>
      <w:pPr>
        <w:numPr>
          <w:ilvl w:val="0"/>
          <w:numId w:val="1006"/>
        </w:numPr>
        <w:pStyle w:val="Compact"/>
      </w:pPr>
      <w:r>
        <w:rPr>
          <w:bCs/>
          <w:b/>
        </w:rPr>
        <w:t xml:space="preserve">Performance Metrics:</w:t>
      </w:r>
      <w:r>
        <w:t xml:space="preserve"> </w:t>
      </w:r>
      <w:r>
        <w:t xml:space="preserve">Load times, response latency, memory usage, and crash frequency.</w:t>
      </w:r>
    </w:p>
    <w:p>
      <w:pPr>
        <w:numPr>
          <w:ilvl w:val="0"/>
          <w:numId w:val="1006"/>
        </w:numPr>
        <w:pStyle w:val="Compact"/>
      </w:pPr>
      <w:r>
        <w:rPr>
          <w:bCs/>
          <w:b/>
        </w:rPr>
        <w:t xml:space="preserve">User Surveys:</w:t>
      </w:r>
      <w:r>
        <w:t xml:space="preserve"> </w:t>
      </w:r>
      <w:r>
        <w:t xml:space="preserve">Post-task questionnaires assessing satisfaction, ease of use, and perceived usefulness.</w:t>
      </w:r>
    </w:p>
    <w:p>
      <w:pPr>
        <w:numPr>
          <w:ilvl w:val="0"/>
          <w:numId w:val="1006"/>
        </w:numPr>
        <w:pStyle w:val="Compact"/>
      </w:pPr>
      <w:r>
        <w:rPr>
          <w:bCs/>
          <w:b/>
        </w:rPr>
        <w:t xml:space="preserve">Interviews:</w:t>
      </w:r>
      <w:r>
        <w:t xml:space="preserve"> </w:t>
      </w:r>
      <w:r>
        <w:t xml:space="preserve">Semi-structured interviews with a subset of participants to gather qualitative insights.</w:t>
      </w:r>
    </w:p>
    <w:p>
      <w:pPr>
        <w:numPr>
          <w:ilvl w:val="0"/>
          <w:numId w:val="1006"/>
        </w:numPr>
        <w:pStyle w:val="Compact"/>
      </w:pPr>
      <w:r>
        <w:rPr>
          <w:bCs/>
          <w:b/>
        </w:rPr>
        <w:t xml:space="preserve">Observation Logs:</w:t>
      </w:r>
      <w:r>
        <w:t xml:space="preserve"> </w:t>
      </w:r>
      <w:r>
        <w:t xml:space="preserve">Researchers will record user interactions, errors, and workarounds during testing sessions.</w:t>
      </w:r>
    </w:p>
    <w:bookmarkEnd w:id="28"/>
    <w:bookmarkStart w:id="29" w:name="ethical-considerations"/>
    <w:p>
      <w:pPr>
        <w:pStyle w:val="Heading2"/>
      </w:pPr>
      <w:r>
        <w:t xml:space="preserve">6. Ethical Considerations</w:t>
      </w:r>
    </w:p>
    <w:p>
      <w:pPr>
        <w:pStyle w:val="FirstParagraph"/>
      </w:pPr>
      <w:r>
        <w:t xml:space="preserve">All participants will provide informed consent before joining the experiment. Their data will be anonymized and stored securely in compliance with Nepal’s data protection guidelines. Participants may withdraw at any time without penalty. Special attention will be given to accessibility for users with disabilities.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training</w:t>
            </w:r>
          </w:p>
        </w:tc>
      </w:tr>
      <w:tr>
        <w:tc>
          <w:tcPr/>
          <w:p>
            <w:pPr>
              <w:pStyle w:val="Compact"/>
              <w:jc w:val="left"/>
            </w:pPr>
            <w:r>
              <w:t xml:space="preserve">Controlled Testing</w:t>
            </w:r>
          </w:p>
        </w:tc>
        <w:tc>
          <w:tcPr/>
          <w:p>
            <w:pPr>
              <w:pStyle w:val="Compact"/>
              <w:jc w:val="left"/>
            </w:pPr>
            <w:r>
              <w:t xml:space="preserve">3 weeks</w:t>
            </w:r>
          </w:p>
        </w:tc>
        <w:tc>
          <w:tcPr/>
          <w:p>
            <w:pPr>
              <w:pStyle w:val="Compact"/>
              <w:jc w:val="left"/>
            </w:pPr>
            <w:r>
              <w:t xml:space="preserve">Lab-based tasks and performance monitoring</w:t>
            </w:r>
          </w:p>
        </w:tc>
      </w:tr>
      <w:tr>
        <w:tc>
          <w:tcPr/>
          <w:p>
            <w:pPr>
              <w:pStyle w:val="Compact"/>
              <w:jc w:val="left"/>
            </w:pPr>
            <w:r>
              <w:t xml:space="preserve">Field Testing</w:t>
            </w:r>
          </w:p>
        </w:tc>
        <w:tc>
          <w:tcPr/>
          <w:p>
            <w:pPr>
              <w:pStyle w:val="Compact"/>
              <w:jc w:val="left"/>
            </w:pPr>
            <w:r>
              <w:t xml:space="preserve">4 weeks</w:t>
            </w:r>
          </w:p>
        </w:tc>
        <w:tc>
          <w:tcPr/>
          <w:p>
            <w:pPr>
              <w:pStyle w:val="Compact"/>
              <w:jc w:val="left"/>
            </w:pPr>
            <w:r>
              <w:t xml:space="preserve">Real-world usage across Kathmandu</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Compilation and interpretation of results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Final report and recommendations</w:t>
            </w:r>
          </w:p>
        </w:tc>
      </w:tr>
    </w:tbl>
    <w:bookmarkEnd w:id="30"/>
    <w:bookmarkStart w:id="31" w:name="expected-outcomes"/>
    <w:p>
      <w:pPr>
        <w:pStyle w:val="Heading2"/>
      </w:pPr>
      <w:r>
        <w:t xml:space="preserve">8. Expected Outcomes</w:t>
      </w:r>
    </w:p>
    <w:p>
      <w:pPr>
        <w:pStyle w:val="FirstParagraph"/>
      </w:pPr>
      <w:r>
        <w:t xml:space="preserve">This Experiment Protocol aims to produce actionable insights into the Editor’s suitability for users in Nepal Kathmandu. Expected outcomes include:</w:t>
      </w:r>
    </w:p>
    <w:p>
      <w:pPr>
        <w:numPr>
          <w:ilvl w:val="0"/>
          <w:numId w:val="1007"/>
        </w:numPr>
        <w:pStyle w:val="Compact"/>
      </w:pPr>
      <w:r>
        <w:t xml:space="preserve">Identification of technical improvements needed for local hardware and network conditions.</w:t>
      </w:r>
    </w:p>
    <w:p>
      <w:pPr>
        <w:numPr>
          <w:ilvl w:val="0"/>
          <w:numId w:val="1007"/>
        </w:numPr>
        <w:pStyle w:val="Compact"/>
      </w:pPr>
      <w:r>
        <w:t xml:space="preserve">Recommendations for enhancing Nepali language support and cultural relevance.</w:t>
      </w:r>
    </w:p>
    <w:p>
      <w:pPr>
        <w:numPr>
          <w:ilvl w:val="0"/>
          <w:numId w:val="1007"/>
        </w:numPr>
        <w:pStyle w:val="Compact"/>
      </w:pPr>
      <w:r>
        <w:t xml:space="preserve">Evidence-based strategies for improving user adoption and satisfaction.</w:t>
      </w:r>
    </w:p>
    <w:p>
      <w:pPr>
        <w:numPr>
          <w:ilvl w:val="0"/>
          <w:numId w:val="1007"/>
        </w:numPr>
        <w:pStyle w:val="Compact"/>
      </w:pPr>
      <w:r>
        <w:t xml:space="preserve">A validated framework for future Editor deployments in similar contexts.</w:t>
      </w:r>
    </w:p>
    <w:bookmarkEnd w:id="31"/>
    <w:bookmarkStart w:id="32" w:name="conclusion"/>
    <w:p>
      <w:pPr>
        <w:pStyle w:val="Heading2"/>
      </w:pPr>
      <w:r>
        <w:t xml:space="preserve">9. Conclusion</w:t>
      </w:r>
    </w:p>
    <w:p>
      <w:pPr>
        <w:pStyle w:val="FirstParagraph"/>
      </w:pPr>
      <w:r>
        <w:t xml:space="preserve">By following this Experiment Protocol, we ensure a rigorous, ethical, and context-sensitive evaluation of the Editor in Nepal Kathmandu. The findings will guide iterative improvements, ultimately delivering a tool that empowers local users and supports digital inclusion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Nepal Kathmandu</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