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Evaluation</w:t>
      </w:r>
      <w:r>
        <w:t xml:space="preserve"> </w:t>
      </w:r>
      <w:r>
        <w:t xml:space="preserve">in</w:t>
      </w:r>
      <w:r>
        <w:t xml:space="preserve"> </w:t>
      </w:r>
      <w:r>
        <w:t xml:space="preserve">Netherlands</w:t>
      </w:r>
      <w:r>
        <w:t xml:space="preserve"> </w:t>
      </w:r>
      <w:r>
        <w:t xml:space="preserve">Amsterdam</w:t>
      </w:r>
    </w:p>
    <w:bookmarkStart w:id="20" w:name="X305fdc7fdb37095009648191dd7d90dac6d4456"/>
    <w:p>
      <w:pPr>
        <w:pStyle w:val="Heading1"/>
      </w:pPr>
      <w:r>
        <w:t xml:space="preserve">Experiment Protocol: Evaluation of the "Editor" Software Tool</w:t>
      </w:r>
    </w:p>
    <w:p>
      <w:pPr>
        <w:pStyle w:val="FirstParagraph"/>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usability, efficiency, and user satisfaction of a new software application referred to as the "Editor." The Editor is designed to streamline content creation and management workflows for digital media professionals. Given the vibrant digital landscape of Netherlands Amsterdam, this study aims to assess how well the Editor integrates into the workflows of local professionals who operate in a highly competitive and fast-paced environment.</w:t>
      </w:r>
    </w:p>
    <w:p>
      <w:pPr>
        <w:pStyle w:val="BodyText"/>
      </w:pPr>
      <w:r>
        <w:t xml:space="preserve">Amsterdam is known for its innovative tech sector and creative industries. Therefore, understanding how the Editor performs in this specific context is crucial for its broader adoption. This protocol ensures that the evaluation is conducted systematically, ethically, and in compliance with local regulations.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usability of the Editor among professionals in Netherlands Amsterdam.</w:t>
      </w:r>
    </w:p>
    <w:p>
      <w:pPr>
        <w:numPr>
          <w:ilvl w:val="0"/>
          <w:numId w:val="1001"/>
        </w:numPr>
        <w:pStyle w:val="Compact"/>
      </w:pPr>
      <w:r>
        <w:t xml:space="preserve">To measure the efficiency gains when using the Editor compared to existing tools.</w:t>
      </w:r>
    </w:p>
    <w:p>
      <w:pPr>
        <w:numPr>
          <w:ilvl w:val="0"/>
          <w:numId w:val="1001"/>
        </w:numPr>
        <w:pStyle w:val="Compact"/>
      </w:pPr>
      <w:r>
        <w:t xml:space="preserve">To gather qualitative feedback on user experience and satisfaction.</w:t>
      </w:r>
    </w:p>
    <w:p>
      <w:pPr>
        <w:numPr>
          <w:ilvl w:val="0"/>
          <w:numId w:val="1001"/>
        </w:numPr>
        <w:pStyle w:val="Compact"/>
      </w:pPr>
      <w:r>
        <w:t xml:space="preserve">To identify any technical issues or areas for improvement specific to the Amsterdam market.</w:t>
      </w:r>
    </w:p>
    <w:bookmarkEnd w:id="22"/>
    <w:bookmarkStart w:id="23" w:name="participants"/>
    <w:p>
      <w:pPr>
        <w:pStyle w:val="Heading2"/>
      </w:pPr>
      <w:r>
        <w:t xml:space="preserve">3. Participants</w:t>
      </w:r>
    </w:p>
    <w:p>
      <w:pPr>
        <w:pStyle w:val="FirstParagraph"/>
      </w:pPr>
      <w:r>
        <w:t xml:space="preserve">The study will involve 30 participants from Netherlands Amsterdam, selected based on the following criteria:</w:t>
      </w:r>
    </w:p>
    <w:p>
      <w:pPr>
        <w:numPr>
          <w:ilvl w:val="0"/>
          <w:numId w:val="1002"/>
        </w:numPr>
        <w:pStyle w:val="Compact"/>
      </w:pPr>
      <w:r>
        <w:t xml:space="preserve">Professionals working in digital media, content creation, or related fields.</w:t>
      </w:r>
    </w:p>
    <w:p>
      <w:pPr>
        <w:numPr>
          <w:ilvl w:val="0"/>
          <w:numId w:val="1002"/>
        </w:numPr>
        <w:pStyle w:val="Compact"/>
      </w:pPr>
      <w:r>
        <w:t xml:space="preserve">Experience with at least one existing content editing tool.</w:t>
      </w:r>
    </w:p>
    <w:p>
      <w:pPr>
        <w:numPr>
          <w:ilvl w:val="0"/>
          <w:numId w:val="1002"/>
        </w:numPr>
        <w:pStyle w:val="Compact"/>
      </w:pPr>
      <w:r>
        <w:t xml:space="preserve">Residence or work location in Amsterdam.</w:t>
      </w:r>
    </w:p>
    <w:p>
      <w:pPr>
        <w:numPr>
          <w:ilvl w:val="0"/>
          <w:numId w:val="1002"/>
        </w:numPr>
        <w:pStyle w:val="Compact"/>
      </w:pPr>
      <w:r>
        <w:t xml:space="preserve">Fluency in English or Dutch (materials will be provided in both languages).</w:t>
      </w:r>
    </w:p>
    <w:p>
      <w:pPr>
        <w:pStyle w:val="FirstParagraph"/>
      </w:pPr>
      <w:r>
        <w:t xml:space="preserve">Participants will be recruited through local professional networks, social media groups, and partnerships with Amsterdam-based tech companies.</w:t>
      </w:r>
    </w:p>
    <w:bookmarkEnd w:id="23"/>
    <w:bookmarkStart w:id="24" w:name="materials-and-equipment"/>
    <w:p>
      <w:pPr>
        <w:pStyle w:val="Heading2"/>
      </w:pPr>
      <w:r>
        <w:t xml:space="preserve">4. Materials and Equipment</w:t>
      </w:r>
    </w:p>
    <w:p>
      <w:pPr>
        <w:pStyle w:val="FirstParagraph"/>
      </w:pPr>
      <w:r>
        <w:t xml:space="preserve">The following materials and equipment will be used during the experiment:</w:t>
      </w:r>
    </w:p>
    <w:p>
      <w:pPr>
        <w:numPr>
          <w:ilvl w:val="0"/>
          <w:numId w:val="1003"/>
        </w:numPr>
        <w:pStyle w:val="Compact"/>
      </w:pPr>
      <w:r>
        <w:t xml:space="preserve">The Editor software (latest stable version).</w:t>
      </w:r>
    </w:p>
    <w:p>
      <w:pPr>
        <w:numPr>
          <w:ilvl w:val="0"/>
          <w:numId w:val="1003"/>
        </w:numPr>
        <w:pStyle w:val="Compact"/>
      </w:pPr>
      <w:r>
        <w:t xml:space="preserve">Standardized tasks and scenarios relevant to content creation.</w:t>
      </w:r>
    </w:p>
    <w:p>
      <w:pPr>
        <w:numPr>
          <w:ilvl w:val="0"/>
          <w:numId w:val="1003"/>
        </w:numPr>
        <w:pStyle w:val="Compact"/>
      </w:pPr>
      <w:r>
        <w:t xml:space="preserve">Computers with pre-installed software and necessary peripherals.</w:t>
      </w:r>
    </w:p>
    <w:p>
      <w:pPr>
        <w:numPr>
          <w:ilvl w:val="0"/>
          <w:numId w:val="1003"/>
        </w:numPr>
        <w:pStyle w:val="Compact"/>
      </w:pPr>
      <w:r>
        <w:t xml:space="preserve">Surveys and questionnaires for collecting feedback.</w:t>
      </w:r>
    </w:p>
    <w:p>
      <w:pPr>
        <w:numPr>
          <w:ilvl w:val="0"/>
          <w:numId w:val="1003"/>
        </w:numPr>
        <w:pStyle w:val="Compact"/>
      </w:pPr>
      <w:r>
        <w:t xml:space="preserve">Recording equipment for capturing user interactions (with consent).</w:t>
      </w:r>
    </w:p>
    <w:bookmarkEnd w:id="24"/>
    <w:bookmarkStart w:id="28" w:name="procedure"/>
    <w:p>
      <w:pPr>
        <w:pStyle w:val="Heading2"/>
      </w:pPr>
      <w:r>
        <w:t xml:space="preserve">5. Procedure</w:t>
      </w:r>
    </w:p>
    <w:p>
      <w:pPr>
        <w:pStyle w:val="FirstParagraph"/>
      </w:pPr>
      <w:r>
        <w:t xml:space="preserve">The experiment will be conducted in three phases:</w:t>
      </w:r>
    </w:p>
    <w:bookmarkStart w:id="25" w:name="preparation-phase"/>
    <w:p>
      <w:pPr>
        <w:pStyle w:val="Heading3"/>
      </w:pPr>
      <w:r>
        <w:t xml:space="preserve">5.1 Preparation Phase</w:t>
      </w:r>
    </w:p>
    <w:p>
      <w:pPr>
        <w:pStyle w:val="FirstParagraph"/>
      </w:pPr>
      <w:r>
        <w:t xml:space="preserve">Participants will be briefed on the purpose of the study and will sign informed consent forms. They will receive an overview of the Editor and its features.</w:t>
      </w:r>
    </w:p>
    <w:bookmarkEnd w:id="25"/>
    <w:bookmarkStart w:id="26" w:name="execution-phase"/>
    <w:p>
      <w:pPr>
        <w:pStyle w:val="Heading3"/>
      </w:pPr>
      <w:r>
        <w:t xml:space="preserve">5.2 Execution Phase</w:t>
      </w:r>
    </w:p>
    <w:p>
      <w:pPr>
        <w:pStyle w:val="FirstParagraph"/>
      </w:pPr>
      <w:r>
        <w:t xml:space="preserve">Participants will complete a series of tasks using the Editor. These tasks will include:</w:t>
      </w:r>
    </w:p>
    <w:p>
      <w:pPr>
        <w:numPr>
          <w:ilvl w:val="0"/>
          <w:numId w:val="1004"/>
        </w:numPr>
        <w:pStyle w:val="Compact"/>
      </w:pPr>
      <w:r>
        <w:t xml:space="preserve">Creating and editing a digital article.</w:t>
      </w:r>
    </w:p>
    <w:p>
      <w:pPr>
        <w:numPr>
          <w:ilvl w:val="0"/>
          <w:numId w:val="1004"/>
        </w:numPr>
        <w:pStyle w:val="Compact"/>
      </w:pPr>
      <w:r>
        <w:t xml:space="preserve">Collaborating with another user on a shared document.</w:t>
      </w:r>
    </w:p>
    <w:p>
      <w:pPr>
        <w:numPr>
          <w:ilvl w:val="0"/>
          <w:numId w:val="1004"/>
        </w:numPr>
        <w:pStyle w:val="Compact"/>
      </w:pPr>
      <w:r>
        <w:t xml:space="preserve">Exporting content in various formats.</w:t>
      </w:r>
    </w:p>
    <w:p>
      <w:pPr>
        <w:pStyle w:val="FirstParagraph"/>
      </w:pPr>
      <w:r>
        <w:t xml:space="preserve">Each task will be timed, and participants will be asked to think aloud to provide insights into their thought processes.</w:t>
      </w:r>
    </w:p>
    <w:bookmarkEnd w:id="26"/>
    <w:bookmarkStart w:id="27" w:name="feedback-phase"/>
    <w:p>
      <w:pPr>
        <w:pStyle w:val="Heading3"/>
      </w:pPr>
      <w:r>
        <w:t xml:space="preserve">5.3 Feedback Phase</w:t>
      </w:r>
    </w:p>
    <w:p>
      <w:pPr>
        <w:pStyle w:val="FirstParagraph"/>
      </w:pPr>
      <w:r>
        <w:t xml:space="preserve">After completing the tasks, participants will fill out a survey assessing their experience with the Editor. They will also participate in a brief interview to discuss their impressions and suggestions.</w:t>
      </w:r>
    </w:p>
    <w:bookmarkEnd w:id="27"/>
    <w:bookmarkEnd w:id="28"/>
    <w:bookmarkStart w:id="29" w:name="data-collection-and-analysis"/>
    <w:p>
      <w:pPr>
        <w:pStyle w:val="Heading2"/>
      </w:pPr>
      <w:r>
        <w:t xml:space="preserve">6. Data Collection and Analysis</w:t>
      </w:r>
    </w:p>
    <w:p>
      <w:pPr>
        <w:pStyle w:val="FirstParagraph"/>
      </w:pPr>
      <w:r>
        <w:t xml:space="preserve">Data will be collected through:</w:t>
      </w:r>
    </w:p>
    <w:p>
      <w:pPr>
        <w:numPr>
          <w:ilvl w:val="0"/>
          <w:numId w:val="1005"/>
        </w:numPr>
        <w:pStyle w:val="Compact"/>
      </w:pPr>
      <w:r>
        <w:t xml:space="preserve">Task completion times.</w:t>
      </w:r>
    </w:p>
    <w:p>
      <w:pPr>
        <w:numPr>
          <w:ilvl w:val="0"/>
          <w:numId w:val="1005"/>
        </w:numPr>
        <w:pStyle w:val="Compact"/>
      </w:pPr>
      <w:r>
        <w:t xml:space="preserve">Error rates during task execution.</w:t>
      </w:r>
    </w:p>
    <w:p>
      <w:pPr>
        <w:numPr>
          <w:ilvl w:val="0"/>
          <w:numId w:val="1005"/>
        </w:numPr>
        <w:pStyle w:val="Compact"/>
      </w:pPr>
      <w:r>
        <w:t xml:space="preserve">Survey responses.</w:t>
      </w:r>
    </w:p>
    <w:p>
      <w:pPr>
        <w:numPr>
          <w:ilvl w:val="0"/>
          <w:numId w:val="1005"/>
        </w:numPr>
        <w:pStyle w:val="Compact"/>
      </w:pPr>
      <w:r>
        <w:t xml:space="preserve">Interview transcripts.</w:t>
      </w:r>
    </w:p>
    <w:p>
      <w:pPr>
        <w:pStyle w:val="FirstParagraph"/>
      </w:pPr>
      <w:r>
        <w:t xml:space="preserve">Quantitative data will be analyzed using statistical methods to identify trends and patterns. Qualitative data will be coded and thematically analyzed to extract key insights.</w:t>
      </w:r>
    </w:p>
    <w:bookmarkEnd w:id="29"/>
    <w:bookmarkStart w:id="30" w:name="ethical-considerations"/>
    <w:p>
      <w:pPr>
        <w:pStyle w:val="Heading2"/>
      </w:pPr>
      <w:r>
        <w:t xml:space="preserve">7. Ethical Considerations</w:t>
      </w:r>
    </w:p>
    <w:p>
      <w:pPr>
        <w:pStyle w:val="FirstParagraph"/>
      </w:pPr>
      <w:r>
        <w:t xml:space="preserve">This study adheres to ethical guidelines for research involving human participants. Key considerations include:</w:t>
      </w:r>
    </w:p>
    <w:p>
      <w:pPr>
        <w:numPr>
          <w:ilvl w:val="0"/>
          <w:numId w:val="1006"/>
        </w:numPr>
        <w:pStyle w:val="Compact"/>
      </w:pPr>
      <w:r>
        <w:t xml:space="preserve">Informed consent: Participants will be fully informed about the study and their rights.</w:t>
      </w:r>
    </w:p>
    <w:p>
      <w:pPr>
        <w:numPr>
          <w:ilvl w:val="0"/>
          <w:numId w:val="1006"/>
        </w:numPr>
        <w:pStyle w:val="Compact"/>
      </w:pPr>
      <w:r>
        <w:t xml:space="preserve">Confidentiality: All data will be anonymized and stored securely.</w:t>
      </w:r>
    </w:p>
    <w:p>
      <w:pPr>
        <w:numPr>
          <w:ilvl w:val="0"/>
          <w:numId w:val="1006"/>
        </w:numPr>
        <w:pStyle w:val="Compact"/>
      </w:pPr>
      <w:r>
        <w:t xml:space="preserve">Voluntary participation: Participants can withdraw at any time without penalty.</w:t>
      </w:r>
    </w:p>
    <w:p>
      <w:pPr>
        <w:numPr>
          <w:ilvl w:val="0"/>
          <w:numId w:val="1006"/>
        </w:numPr>
        <w:pStyle w:val="Compact"/>
      </w:pPr>
      <w:r>
        <w:t xml:space="preserve">Compliance with local regulations in Netherlands Amsterdam.</w:t>
      </w:r>
    </w:p>
    <w:bookmarkEnd w:id="30"/>
    <w:bookmarkStart w:id="31" w:name="timeline"/>
    <w:p>
      <w:pPr>
        <w:pStyle w:val="Heading2"/>
      </w:pPr>
      <w:r>
        <w:t xml:space="preserve">8.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October 1, 2023</w:t>
            </w:r>
          </w:p>
        </w:tc>
        <w:tc>
          <w:tcPr/>
          <w:p>
            <w:pPr>
              <w:pStyle w:val="Compact"/>
              <w:jc w:val="left"/>
            </w:pPr>
            <w:r>
              <w:t xml:space="preserve">October 14, 2023</w:t>
            </w:r>
          </w:p>
        </w:tc>
      </w:tr>
      <w:tr>
        <w:tc>
          <w:tcPr/>
          <w:p>
            <w:pPr>
              <w:pStyle w:val="Compact"/>
              <w:jc w:val="left"/>
            </w:pPr>
            <w:r>
              <w:t xml:space="preserve">Execution</w:t>
            </w:r>
          </w:p>
        </w:tc>
        <w:tc>
          <w:tcPr/>
          <w:p>
            <w:pPr>
              <w:pStyle w:val="Compact"/>
              <w:jc w:val="left"/>
            </w:pPr>
            <w:r>
              <w:t xml:space="preserve">4 weeks</w:t>
            </w:r>
          </w:p>
        </w:tc>
        <w:tc>
          <w:tcPr/>
          <w:p>
            <w:pPr>
              <w:pStyle w:val="Compact"/>
              <w:jc w:val="left"/>
            </w:pPr>
            <w:r>
              <w:t xml:space="preserve">October 15, 2023</w:t>
            </w:r>
          </w:p>
        </w:tc>
        <w:tc>
          <w:tcPr/>
          <w:p>
            <w:pPr>
              <w:pStyle w:val="Compact"/>
              <w:jc w:val="left"/>
            </w:pPr>
            <w:r>
              <w:t xml:space="preserve">November 11, 2023</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November 12, 2023</w:t>
            </w:r>
          </w:p>
        </w:tc>
        <w:tc>
          <w:tcPr/>
          <w:p>
            <w:pPr>
              <w:pStyle w:val="Compact"/>
              <w:jc w:val="left"/>
            </w:pPr>
            <w:r>
              <w:t xml:space="preserve">December 2, 2023</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December 3, 2023</w:t>
            </w:r>
          </w:p>
        </w:tc>
        <w:tc>
          <w:tcPr/>
          <w:p>
            <w:pPr>
              <w:pStyle w:val="Compact"/>
              <w:jc w:val="left"/>
            </w:pPr>
            <w:r>
              <w:t xml:space="preserve">December 16, 2023</w:t>
            </w:r>
          </w:p>
        </w:tc>
      </w:tr>
    </w:tbl>
    <w:bookmarkEnd w:id="31"/>
    <w:bookmarkStart w:id="32" w:name="expected-outcomes"/>
    <w:p>
      <w:pPr>
        <w:pStyle w:val="Heading2"/>
      </w:pPr>
      <w:r>
        <w:t xml:space="preserve">9. Expected Outcomes</w:t>
      </w:r>
    </w:p>
    <w:p>
      <w:pPr>
        <w:pStyle w:val="FirstParagraph"/>
      </w:pPr>
      <w:r>
        <w:t xml:space="preserve">This experiment aims to provide actionable insights into the usability and effectiveness of the Editor in the context of Netherlands Amsterdam. The findings will help refine the software to better meet the needs of local professionals and enhance its competitiveness in the global market.</w:t>
      </w:r>
    </w:p>
    <w:bookmarkEnd w:id="32"/>
    <w:bookmarkStart w:id="33" w:name="conclusion"/>
    <w:p>
      <w:pPr>
        <w:pStyle w:val="Heading2"/>
      </w:pPr>
      <w:r>
        <w:t xml:space="preserve">10. Conclusion</w:t>
      </w:r>
    </w:p>
    <w:p>
      <w:pPr>
        <w:pStyle w:val="FirstParagraph"/>
      </w:pPr>
      <w:r>
        <w:t xml:space="preserve">This Experiment Protocol provides a comprehensive framework for evaluating the Editor in Netherlands Amsterdam. By following this structured approach, we aim to ensure that the study is rigorous, ethical, and informative, ultimately contributing to the development of a superior content editing tool.</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Evaluation in Netherlands Amsterdam</dc:title>
  <dc:creator/>
  <dc:language>en</dc:language>
  <cp:keywords/>
  <dcterms:created xsi:type="dcterms:W3CDTF">2026-10-10T02:09:32Z</dcterms:created>
  <dcterms:modified xsi:type="dcterms:W3CDTF">2026-10-10T02:09:32Z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