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Engineer</w:t>
      </w:r>
      <w:r>
        <w:t xml:space="preserve"> </w:t>
      </w:r>
      <w:r>
        <w:t xml:space="preserve">-</w:t>
      </w:r>
      <w:r>
        <w:t xml:space="preserve"> </w:t>
      </w:r>
      <w:r>
        <w:t xml:space="preserve">Australia</w:t>
      </w:r>
      <w:r>
        <w:t xml:space="preserve"> </w:t>
      </w:r>
      <w:r>
        <w:t xml:space="preserve">Brisbane</w:t>
      </w:r>
    </w:p>
    <w:bookmarkStart w:id="20" w:name="experiment-protocol"/>
    <w:p>
      <w:pPr>
        <w:pStyle w:val="Heading1"/>
      </w:pPr>
      <w:r>
        <w:t xml:space="preserve">Experiment Protocol</w:t>
      </w:r>
    </w:p>
    <w:p>
      <w:pPr>
        <w:pStyle w:val="FirstParagraph"/>
      </w:pPr>
      <w:r>
        <w:rPr>
          <w:bCs/>
          <w:b/>
        </w:rPr>
        <w:t xml:space="preserve">Role:</w:t>
      </w:r>
      <w:r>
        <w:t xml:space="preserve"> </w:t>
      </w:r>
      <w:r>
        <w:t xml:space="preserve">Electrical Engineer</w:t>
      </w:r>
    </w:p>
    <w:p>
      <w:pPr>
        <w:pStyle w:val="BodyText"/>
      </w:pPr>
      <w:r>
        <w:rPr>
          <w:bCs/>
          <w:b/>
        </w:rPr>
        <w:t xml:space="preserve">Location:</w:t>
      </w:r>
      <w:r>
        <w:t xml:space="preserve"> </w:t>
      </w:r>
      <w:r>
        <w:t xml:space="preserve">Australia Brisbane</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
    <w:p>
      <w:pPr>
        <w:pStyle w:val="Heading2"/>
      </w:pPr>
      <w:r>
        <w:t xml:space="preserve">1. Introduction</w:t>
      </w:r>
    </w:p>
    <w:p>
      <w:pPr>
        <w:pStyle w:val="FirstParagraph"/>
      </w:pPr>
      <w:r>
        <w:t xml:space="preserve">This Experiment Protocol outlines the procedures, safety measures, and technical requirements for conducting electrical experiments in Brisbane, Australia. The protocol is designed for Electrical Engineers working in compliance with Australian Standards (AS/NZS) and local regulations. The primary objective is to ensure the safe and accurate execution of experiments involving electrical systems, components, and circuits.</w:t>
      </w:r>
    </w:p>
    <w:p>
      <w:pPr>
        <w:pStyle w:val="BodyText"/>
      </w:pPr>
      <w:r>
        <w:t xml:space="preserve">Brisbane's unique environmental conditions, including high humidity and temperature variations, necessitate specific considerations for electrical testing. This protocol addresses these factors while adhering to national and state-level safety guidelines.</w:t>
      </w:r>
    </w:p>
    <w:bookmarkEnd w:id="21"/>
    <w:bookmarkStart w:id="22" w:name="scope"/>
    <w:p>
      <w:pPr>
        <w:pStyle w:val="Heading2"/>
      </w:pPr>
      <w:r>
        <w:t xml:space="preserve">2. Scope</w:t>
      </w:r>
    </w:p>
    <w:p>
      <w:pPr>
        <w:pStyle w:val="FirstParagraph"/>
      </w:pPr>
      <w:r>
        <w:t xml:space="preserve">This protocol applies to all Electrical Engineers conducting experiments in Brisbane, including but not limited to:</w:t>
      </w:r>
    </w:p>
    <w:p>
      <w:pPr>
        <w:numPr>
          <w:ilvl w:val="0"/>
          <w:numId w:val="1001"/>
        </w:numPr>
        <w:pStyle w:val="Compact"/>
      </w:pPr>
      <w:r>
        <w:t xml:space="preserve">Testing of electrical circuits and components.</w:t>
      </w:r>
    </w:p>
    <w:p>
      <w:pPr>
        <w:numPr>
          <w:ilvl w:val="0"/>
          <w:numId w:val="1001"/>
        </w:numPr>
        <w:pStyle w:val="Compact"/>
      </w:pPr>
      <w:r>
        <w:t xml:space="preserve">Evaluation of power distribution systems.</w:t>
      </w:r>
    </w:p>
    <w:p>
      <w:pPr>
        <w:numPr>
          <w:ilvl w:val="0"/>
          <w:numId w:val="1001"/>
        </w:numPr>
        <w:pStyle w:val="Compact"/>
      </w:pPr>
      <w:r>
        <w:t xml:space="preserve">Assessment of renewable energy systems (e.g., solar panels).</w:t>
      </w:r>
    </w:p>
    <w:p>
      <w:pPr>
        <w:numPr>
          <w:ilvl w:val="0"/>
          <w:numId w:val="1001"/>
        </w:numPr>
        <w:pStyle w:val="Compact"/>
      </w:pPr>
      <w:r>
        <w:t xml:space="preserve">Verification of compliance with AS/NZS standards.</w:t>
      </w:r>
    </w:p>
    <w:p>
      <w:pPr>
        <w:pStyle w:val="FirstParagraph"/>
      </w:pPr>
      <w:r>
        <w:t xml:space="preserve">All experiments must be conducted in controlled environments, such as laboratories or designated testing areas, unless otherwise approved by the relevant authorities.</w:t>
      </w:r>
    </w:p>
    <w:bookmarkEnd w:id="22"/>
    <w:bookmarkStart w:id="23" w:name="safety-requirements"/>
    <w:p>
      <w:pPr>
        <w:pStyle w:val="Heading2"/>
      </w:pPr>
      <w:r>
        <w:t xml:space="preserve">3. Safety Requirements</w:t>
      </w:r>
    </w:p>
    <w:p>
      <w:pPr>
        <w:pStyle w:val="FirstParagraph"/>
      </w:pPr>
      <w:r>
        <w:t xml:space="preserve">Safety is the highest priority in all electrical experiments. The following measures must be strictly adhered to:</w:t>
      </w:r>
    </w:p>
    <w:p>
      <w:pPr>
        <w:numPr>
          <w:ilvl w:val="0"/>
          <w:numId w:val="1002"/>
        </w:numPr>
        <w:pStyle w:val="Compact"/>
      </w:pPr>
      <w:r>
        <w:rPr>
          <w:bCs/>
          <w:b/>
        </w:rPr>
        <w:t xml:space="preserve">Personal Protective Equipment (PPE):</w:t>
      </w:r>
      <w:r>
        <w:t xml:space="preserve"> </w:t>
      </w:r>
      <w:r>
        <w:t xml:space="preserve">All personnel must wear appropriate PPE, including insulated gloves, safety glasses, and flame-resistant clothing.</w:t>
      </w:r>
    </w:p>
    <w:p>
      <w:pPr>
        <w:numPr>
          <w:ilvl w:val="0"/>
          <w:numId w:val="1002"/>
        </w:numPr>
        <w:pStyle w:val="Compact"/>
      </w:pPr>
      <w:r>
        <w:rPr>
          <w:bCs/>
          <w:b/>
        </w:rPr>
        <w:t xml:space="preserve">Lockout/Tagout Procedures:</w:t>
      </w:r>
      <w:r>
        <w:t xml:space="preserve"> </w:t>
      </w:r>
      <w:r>
        <w:t xml:space="preserve">Ensure all power sources are isolated and locked out before beginning any work.</w:t>
      </w:r>
    </w:p>
    <w:p>
      <w:pPr>
        <w:numPr>
          <w:ilvl w:val="0"/>
          <w:numId w:val="1002"/>
        </w:numPr>
        <w:pStyle w:val="Compact"/>
      </w:pPr>
      <w:r>
        <w:rPr>
          <w:bCs/>
          <w:b/>
        </w:rPr>
        <w:t xml:space="preserve">Emergency Procedures:</w:t>
      </w:r>
      <w:r>
        <w:t xml:space="preserve"> </w:t>
      </w:r>
      <w:r>
        <w:t xml:space="preserve">Familiarize yourself with emergency shutdown procedures and first aid protocols.</w:t>
      </w:r>
    </w:p>
    <w:p>
      <w:pPr>
        <w:numPr>
          <w:ilvl w:val="0"/>
          <w:numId w:val="1002"/>
        </w:numPr>
        <w:pStyle w:val="Compact"/>
      </w:pPr>
      <w:r>
        <w:rPr>
          <w:bCs/>
          <w:b/>
        </w:rPr>
        <w:t xml:space="preserve">Environmental Considerations:</w:t>
      </w:r>
      <w:r>
        <w:t xml:space="preserve"> </w:t>
      </w:r>
      <w:r>
        <w:t xml:space="preserve">Account for Brisbane's climate by ensuring proper ventilation and temperature control in testing areas.</w:t>
      </w:r>
    </w:p>
    <w:p>
      <w:pPr>
        <w:pStyle w:val="FirstParagraph"/>
      </w:pPr>
      <w:r>
        <w:rPr>
          <w:bCs/>
          <w:b/>
        </w:rPr>
        <w:t xml:space="preserve">Note:</w:t>
      </w:r>
      <w:r>
        <w:t xml:space="preserve"> </w:t>
      </w:r>
      <w:r>
        <w:t xml:space="preserve">All safety measures must comply with the Work Health and Safety Act 2011 (Queensland) and relevant Australian Standards.</w:t>
      </w:r>
    </w:p>
    <w:bookmarkEnd w:id="23"/>
    <w:bookmarkStart w:id="24" w:name="equipment-and-materials"/>
    <w:p>
      <w:pPr>
        <w:pStyle w:val="Heading2"/>
      </w:pPr>
      <w:r>
        <w:t xml:space="preserve">4. Equipment and Materials</w:t>
      </w:r>
    </w:p>
    <w:p>
      <w:pPr>
        <w:pStyle w:val="FirstParagraph"/>
      </w:pPr>
      <w:r>
        <w:t xml:space="preserve">The following equipment and materials are required for conducting experiments: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Multimeter</w:t>
            </w:r>
          </w:p>
        </w:tc>
        <w:tc>
          <w:tcPr/>
          <w:p>
            <w:pPr>
              <w:pStyle w:val="Compact"/>
              <w:jc w:val="left"/>
            </w:pPr>
            <w:r>
              <w:t xml:space="preserve">Calibrated digital multimeter</w:t>
            </w:r>
          </w:p>
        </w:tc>
        <w:tc>
          <w:tcPr/>
          <w:p>
            <w:pPr>
              <w:pStyle w:val="Compact"/>
              <w:jc w:val="left"/>
            </w:pPr>
            <w:r>
              <w:t xml:space="preserve">2</w:t>
            </w:r>
          </w:p>
        </w:tc>
      </w:tr>
      <w:tr>
        <w:tc>
          <w:tcPr/>
          <w:p>
            <w:pPr>
              <w:pStyle w:val="Compact"/>
              <w:jc w:val="left"/>
            </w:pPr>
            <w:r>
              <w:t xml:space="preserve">Oscilloscope</w:t>
            </w:r>
          </w:p>
        </w:tc>
        <w:tc>
          <w:tcPr/>
          <w:p>
            <w:pPr>
              <w:pStyle w:val="Compact"/>
              <w:jc w:val="left"/>
            </w:pPr>
            <w:r>
              <w:t xml:space="preserve">High-resolution oscilloscope</w:t>
            </w:r>
          </w:p>
        </w:tc>
        <w:tc>
          <w:tcPr/>
          <w:p>
            <w:pPr>
              <w:pStyle w:val="Compact"/>
              <w:jc w:val="left"/>
            </w:pPr>
            <w:r>
              <w:t xml:space="preserve">1</w:t>
            </w:r>
          </w:p>
        </w:tc>
      </w:tr>
      <w:tr>
        <w:tc>
          <w:tcPr/>
          <w:p>
            <w:pPr>
              <w:pStyle w:val="Compact"/>
              <w:jc w:val="left"/>
            </w:pPr>
            <w:r>
              <w:t xml:space="preserve">Power Supply</w:t>
            </w:r>
          </w:p>
        </w:tc>
        <w:tc>
          <w:tcPr/>
          <w:p>
            <w:pPr>
              <w:pStyle w:val="Compact"/>
              <w:jc w:val="left"/>
            </w:pPr>
            <w:r>
              <w:t xml:space="preserve">Adjustable DC/AC power supply</w:t>
            </w:r>
          </w:p>
        </w:tc>
        <w:tc>
          <w:tcPr/>
          <w:p>
            <w:pPr>
              <w:pStyle w:val="Compact"/>
              <w:jc w:val="left"/>
            </w:pPr>
            <w:r>
              <w:t xml:space="preserve">1</w:t>
            </w:r>
          </w:p>
        </w:tc>
      </w:tr>
      <w:tr>
        <w:tc>
          <w:tcPr/>
          <w:p>
            <w:pPr>
              <w:pStyle w:val="Compact"/>
              <w:jc w:val="left"/>
            </w:pPr>
            <w:r>
              <w:t xml:space="preserve">Test Leads</w:t>
            </w:r>
          </w:p>
        </w:tc>
        <w:tc>
          <w:tcPr/>
          <w:p>
            <w:pPr>
              <w:pStyle w:val="Compact"/>
              <w:jc w:val="left"/>
            </w:pPr>
            <w:r>
              <w:t xml:space="preserve">Insulated test leads</w:t>
            </w:r>
          </w:p>
        </w:tc>
        <w:tc>
          <w:tcPr/>
          <w:p>
            <w:pPr>
              <w:pStyle w:val="Compact"/>
              <w:jc w:val="left"/>
            </w:pPr>
            <w:r>
              <w:t xml:space="preserve">Set</w:t>
            </w:r>
          </w:p>
        </w:tc>
      </w:tr>
      <w:tr>
        <w:tc>
          <w:tcPr/>
          <w:p>
            <w:pPr>
              <w:pStyle w:val="Compact"/>
              <w:jc w:val="left"/>
            </w:pPr>
            <w:r>
              <w:t xml:space="preserve">Circuit Breakers</w:t>
            </w:r>
          </w:p>
        </w:tc>
        <w:tc>
          <w:tcPr/>
          <w:p>
            <w:pPr>
              <w:pStyle w:val="Compact"/>
              <w:jc w:val="left"/>
            </w:pPr>
            <w:r>
              <w:t xml:space="preserve">AS/NZS compliant circuit breakers</w:t>
            </w:r>
          </w:p>
        </w:tc>
        <w:tc>
          <w:tcPr/>
          <w:p>
            <w:pPr>
              <w:pStyle w:val="Compact"/>
              <w:jc w:val="left"/>
            </w:pPr>
            <w:r>
              <w:t xml:space="preserve">As needed</w:t>
            </w:r>
          </w:p>
        </w:tc>
      </w:tr>
    </w:tbl>
    <w:p>
      <w:pPr>
        <w:pStyle w:val="BodyText"/>
      </w:pPr>
      <w:r>
        <w:t xml:space="preserve">All equipment must be calibrated and certified according to Australian Standards before use.</w:t>
      </w:r>
    </w:p>
    <w:bookmarkEnd w:id="24"/>
    <w:bookmarkStart w:id="25" w:name="experimental-procedure"/>
    <w:p>
      <w:pPr>
        <w:pStyle w:val="Heading2"/>
      </w:pPr>
      <w:r>
        <w:t xml:space="preserve">5. Experimental Procedure</w:t>
      </w:r>
    </w:p>
    <w:p>
      <w:pPr>
        <w:pStyle w:val="FirstParagraph"/>
      </w:pPr>
      <w:r>
        <w:t xml:space="preserve">The following steps outline the general procedure for conducting electrical experiments:</w:t>
      </w:r>
    </w:p>
    <w:p>
      <w:pPr>
        <w:numPr>
          <w:ilvl w:val="0"/>
          <w:numId w:val="1003"/>
        </w:numPr>
        <w:pStyle w:val="Compact"/>
      </w:pPr>
      <w:r>
        <w:rPr>
          <w:bCs/>
          <w:b/>
        </w:rPr>
        <w:t xml:space="preserve">Preparation:</w:t>
      </w:r>
      <w:r>
        <w:t xml:space="preserve"> </w:t>
      </w:r>
      <w:r>
        <w:t xml:space="preserve">Review the experiment objectives and ensure all necessary equipment is available and calibrated.</w:t>
      </w:r>
    </w:p>
    <w:p>
      <w:pPr>
        <w:numPr>
          <w:ilvl w:val="0"/>
          <w:numId w:val="1003"/>
        </w:numPr>
        <w:pStyle w:val="Compact"/>
      </w:pPr>
      <w:r>
        <w:rPr>
          <w:bCs/>
          <w:b/>
        </w:rPr>
        <w:t xml:space="preserve">Safety Check:</w:t>
      </w:r>
      <w:r>
        <w:t xml:space="preserve"> </w:t>
      </w:r>
      <w:r>
        <w:t xml:space="preserve">Verify that all safety measures are in place, including PPE and lockout/tagout procedures.</w:t>
      </w:r>
    </w:p>
    <w:p>
      <w:pPr>
        <w:numPr>
          <w:ilvl w:val="0"/>
          <w:numId w:val="1003"/>
        </w:numPr>
        <w:pStyle w:val="Compact"/>
      </w:pPr>
      <w:r>
        <w:rPr>
          <w:bCs/>
          <w:b/>
        </w:rPr>
        <w:t xml:space="preserve">Setup:</w:t>
      </w:r>
      <w:r>
        <w:t xml:space="preserve"> </w:t>
      </w:r>
      <w:r>
        <w:t xml:space="preserve">Assemble the circuit or system according to the design specifications.</w:t>
      </w:r>
    </w:p>
    <w:p>
      <w:pPr>
        <w:numPr>
          <w:ilvl w:val="0"/>
          <w:numId w:val="1003"/>
        </w:numPr>
        <w:pStyle w:val="Compact"/>
      </w:pPr>
      <w:r>
        <w:rPr>
          <w:bCs/>
          <w:b/>
        </w:rPr>
        <w:t xml:space="preserve">Testing:</w:t>
      </w:r>
      <w:r>
        <w:t xml:space="preserve"> </w:t>
      </w:r>
      <w:r>
        <w:t xml:space="preserve">Conduct the experiment, recording all measurements and observations.</w:t>
      </w:r>
    </w:p>
    <w:p>
      <w:pPr>
        <w:numPr>
          <w:ilvl w:val="0"/>
          <w:numId w:val="1003"/>
        </w:numPr>
        <w:pStyle w:val="Compact"/>
      </w:pPr>
      <w:r>
        <w:rPr>
          <w:bCs/>
          <w:b/>
        </w:rPr>
        <w:t xml:space="preserve">Analysis:</w:t>
      </w:r>
      <w:r>
        <w:t xml:space="preserve"> </w:t>
      </w:r>
      <w:r>
        <w:t xml:space="preserve">Analyze the data to determine if the experiment objectives have been met.</w:t>
      </w:r>
    </w:p>
    <w:p>
      <w:pPr>
        <w:numPr>
          <w:ilvl w:val="0"/>
          <w:numId w:val="1003"/>
        </w:numPr>
        <w:pStyle w:val="Compact"/>
      </w:pPr>
      <w:r>
        <w:rPr>
          <w:bCs/>
          <w:b/>
        </w:rPr>
        <w:t xml:space="preserve">Documentation:</w:t>
      </w:r>
      <w:r>
        <w:t xml:space="preserve"> </w:t>
      </w:r>
      <w:r>
        <w:t xml:space="preserve">Document the results, including any deviations from the expected outcomes.</w:t>
      </w:r>
    </w:p>
    <w:p>
      <w:pPr>
        <w:pStyle w:val="FirstParagraph"/>
      </w:pPr>
      <w:r>
        <w:t xml:space="preserve">Each step must be performed methodically, with attention to detail and adherence to safety protocols.</w:t>
      </w:r>
    </w:p>
    <w:bookmarkEnd w:id="25"/>
    <w:bookmarkStart w:id="26" w:name="data-collection-and-analysis"/>
    <w:p>
      <w:pPr>
        <w:pStyle w:val="Heading2"/>
      </w:pPr>
      <w:r>
        <w:t xml:space="preserve">6. Data Collection and Analysis</w:t>
      </w:r>
    </w:p>
    <w:p>
      <w:pPr>
        <w:pStyle w:val="FirstParagraph"/>
      </w:pPr>
      <w:r>
        <w:t xml:space="preserve">Accurate data collection is critical for the success of any experiment. The following guidelines apply:</w:t>
      </w:r>
    </w:p>
    <w:p>
      <w:pPr>
        <w:numPr>
          <w:ilvl w:val="0"/>
          <w:numId w:val="1004"/>
        </w:numPr>
        <w:pStyle w:val="Compact"/>
      </w:pPr>
      <w:r>
        <w:t xml:space="preserve">Use calibrated instruments to ensure measurement accuracy.</w:t>
      </w:r>
    </w:p>
    <w:p>
      <w:pPr>
        <w:numPr>
          <w:ilvl w:val="0"/>
          <w:numId w:val="1004"/>
        </w:numPr>
        <w:pStyle w:val="Compact"/>
      </w:pPr>
      <w:r>
        <w:t xml:space="preserve">Record all data in a standardized format, including timestamps and environmental conditions.</w:t>
      </w:r>
    </w:p>
    <w:p>
      <w:pPr>
        <w:numPr>
          <w:ilvl w:val="0"/>
          <w:numId w:val="1004"/>
        </w:numPr>
        <w:pStyle w:val="Compact"/>
      </w:pPr>
      <w:r>
        <w:t xml:space="preserve">Analyze data using appropriate statistical methods to identify trends and anomalies.</w:t>
      </w:r>
    </w:p>
    <w:p>
      <w:pPr>
        <w:numPr>
          <w:ilvl w:val="0"/>
          <w:numId w:val="1004"/>
        </w:numPr>
        <w:pStyle w:val="Compact"/>
      </w:pPr>
      <w:r>
        <w:t xml:space="preserve">Compare results against theoretical predictions and Australian Standards.</w:t>
      </w:r>
    </w:p>
    <w:p>
      <w:pPr>
        <w:pStyle w:val="FirstParagraph"/>
      </w:pPr>
      <w:r>
        <w:t xml:space="preserve">Data must be stored securely and made available for review by relevant stakeholders.</w:t>
      </w:r>
    </w:p>
    <w:bookmarkEnd w:id="26"/>
    <w:bookmarkStart w:id="27" w:name="compliance-and-reporting"/>
    <w:p>
      <w:pPr>
        <w:pStyle w:val="Heading2"/>
      </w:pPr>
      <w:r>
        <w:t xml:space="preserve">7. Compliance and Reporting</w:t>
      </w:r>
    </w:p>
    <w:p>
      <w:pPr>
        <w:pStyle w:val="FirstParagraph"/>
      </w:pPr>
      <w:r>
        <w:t xml:space="preserve">All experiments must comply with the following standards and regulations:</w:t>
      </w:r>
    </w:p>
    <w:p>
      <w:pPr>
        <w:numPr>
          <w:ilvl w:val="0"/>
          <w:numId w:val="1005"/>
        </w:numPr>
        <w:pStyle w:val="Compact"/>
      </w:pPr>
      <w:r>
        <w:t xml:space="preserve">AS/NZS 3000:2018 (Wiring Rules)</w:t>
      </w:r>
    </w:p>
    <w:p>
      <w:pPr>
        <w:numPr>
          <w:ilvl w:val="0"/>
          <w:numId w:val="1005"/>
        </w:numPr>
        <w:pStyle w:val="Compact"/>
      </w:pPr>
      <w:r>
        <w:t xml:space="preserve">AS/NZS 3008:2017 (Selection of Cables)</w:t>
      </w:r>
    </w:p>
    <w:p>
      <w:pPr>
        <w:numPr>
          <w:ilvl w:val="0"/>
          <w:numId w:val="1005"/>
        </w:numPr>
        <w:pStyle w:val="Compact"/>
      </w:pPr>
      <w:r>
        <w:t xml:space="preserve">Work Health and Safety Act 2011 (Queensland)</w:t>
      </w:r>
    </w:p>
    <w:p>
      <w:pPr>
        <w:pStyle w:val="FirstParagraph"/>
      </w:pPr>
      <w:r>
        <w:t xml:space="preserve">A detailed report must be submitted after each experiment, including:</w:t>
      </w:r>
    </w:p>
    <w:p>
      <w:pPr>
        <w:numPr>
          <w:ilvl w:val="0"/>
          <w:numId w:val="1006"/>
        </w:numPr>
        <w:pStyle w:val="Compact"/>
      </w:pPr>
      <w:r>
        <w:t xml:space="preserve">Objectives and methodology.</w:t>
      </w:r>
    </w:p>
    <w:p>
      <w:pPr>
        <w:numPr>
          <w:ilvl w:val="0"/>
          <w:numId w:val="1006"/>
        </w:numPr>
        <w:pStyle w:val="Compact"/>
      </w:pPr>
      <w:r>
        <w:t xml:space="preserve">Data and analysis.</w:t>
      </w:r>
    </w:p>
    <w:p>
      <w:pPr>
        <w:numPr>
          <w:ilvl w:val="0"/>
          <w:numId w:val="1006"/>
        </w:numPr>
        <w:pStyle w:val="Compact"/>
      </w:pPr>
      <w:r>
        <w:t xml:space="preserve">Conclusions and recommendations.</w:t>
      </w:r>
    </w:p>
    <w:p>
      <w:pPr>
        <w:numPr>
          <w:ilvl w:val="0"/>
          <w:numId w:val="1006"/>
        </w:numPr>
        <w:pStyle w:val="Compact"/>
      </w:pPr>
      <w:r>
        <w:t xml:space="preserve">Compliance with relevant standards.</w:t>
      </w:r>
    </w:p>
    <w:p>
      <w:pPr>
        <w:pStyle w:val="FirstParagraph"/>
      </w:pPr>
      <w:r>
        <w:t xml:space="preserve">Reports must be reviewed and approved by a senior Electrical Engineer before being finalized.</w:t>
      </w:r>
    </w:p>
    <w:bookmarkEnd w:id="27"/>
    <w:bookmarkStart w:id="28" w:name="conclusion"/>
    <w:p>
      <w:pPr>
        <w:pStyle w:val="Heading2"/>
      </w:pPr>
      <w:r>
        <w:t xml:space="preserve">8. Conclusion</w:t>
      </w:r>
    </w:p>
    <w:p>
      <w:pPr>
        <w:pStyle w:val="FirstParagraph"/>
      </w:pPr>
      <w:r>
        <w:t xml:space="preserve">This Experiment Protocol provides a comprehensive framework for Electrical Engineers conducting experiments in Brisbane, Australia. By adhering to the outlined procedures, safety measures, and compliance requirements, engineers can ensure the successful and safe execution of their experiments. Continuous improvement and adherence to evolving standards are essential for maintaining the highest levels of safety and accuracy in electrical engineering practices.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Engineer - Australia Brisbane</dc:title>
  <dc:creator/>
  <dc:language>en</dc:language>
  <cp:keywords/>
  <dcterms:created xsi:type="dcterms:W3CDTF">2026-10-10T02:20:41Z</dcterms:created>
  <dcterms:modified xsi:type="dcterms:W3CDTF">2026-10-10T02:20:41Z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