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electrical experiments in Canada Vancouver. The protocol is designed to ensure safety, accuracy, and compliance with local regulations and standards. It is intended for use by Electrical Engineers and related professionals working in the field of electrical engineering.</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electrical experiments.</w:t>
      </w:r>
    </w:p>
    <w:p>
      <w:pPr>
        <w:numPr>
          <w:ilvl w:val="0"/>
          <w:numId w:val="1001"/>
        </w:numPr>
        <w:pStyle w:val="Compact"/>
      </w:pPr>
      <w:r>
        <w:t xml:space="preserve">To ensure the safety of all personnel involved in the experiments.</w:t>
      </w:r>
    </w:p>
    <w:p>
      <w:pPr>
        <w:numPr>
          <w:ilvl w:val="0"/>
          <w:numId w:val="1001"/>
        </w:numPr>
        <w:pStyle w:val="Compact"/>
      </w:pPr>
      <w:r>
        <w:t xml:space="preserve">To comply with the electrical codes and regulations specific to Canada Vancouver.</w:t>
      </w:r>
    </w:p>
    <w:p>
      <w:pPr>
        <w:numPr>
          <w:ilvl w:val="0"/>
          <w:numId w:val="1001"/>
        </w:numPr>
        <w:pStyle w:val="Compact"/>
      </w:pPr>
      <w:r>
        <w:t xml:space="preserve">To provide a framework for accurate data collection and analysis.</w:t>
      </w:r>
    </w:p>
    <w:bookmarkEnd w:id="22"/>
    <w:bookmarkStart w:id="23" w:name="scope"/>
    <w:p>
      <w:pPr>
        <w:pStyle w:val="Heading2"/>
      </w:pPr>
      <w:r>
        <w:t xml:space="preserve">3. Scope</w:t>
      </w:r>
    </w:p>
    <w:p>
      <w:pPr>
        <w:pStyle w:val="FirstParagraph"/>
      </w:pPr>
      <w:r>
        <w:t xml:space="preserve">This protocol applies to all electrical experiments conducted within the jurisdiction of Canada Vancouver. It covers a wide range of activities, including but not limited to:</w:t>
      </w:r>
    </w:p>
    <w:p>
      <w:pPr>
        <w:numPr>
          <w:ilvl w:val="0"/>
          <w:numId w:val="1002"/>
        </w:numPr>
        <w:pStyle w:val="Compact"/>
      </w:pPr>
      <w:r>
        <w:t xml:space="preserve">Testing of electrical components and systems.</w:t>
      </w:r>
    </w:p>
    <w:p>
      <w:pPr>
        <w:numPr>
          <w:ilvl w:val="0"/>
          <w:numId w:val="1002"/>
        </w:numPr>
        <w:pStyle w:val="Compact"/>
      </w:pPr>
      <w:r>
        <w:t xml:space="preserve">Calibration of electrical instruments.</w:t>
      </w:r>
    </w:p>
    <w:p>
      <w:pPr>
        <w:numPr>
          <w:ilvl w:val="0"/>
          <w:numId w:val="1002"/>
        </w:numPr>
        <w:pStyle w:val="Compact"/>
      </w:pPr>
      <w:r>
        <w:t xml:space="preserve">Performance evaluation of electrical installations.</w:t>
      </w:r>
    </w:p>
    <w:p>
      <w:pPr>
        <w:numPr>
          <w:ilvl w:val="0"/>
          <w:numId w:val="1002"/>
        </w:numPr>
        <w:pStyle w:val="Compact"/>
      </w:pPr>
      <w:r>
        <w:t xml:space="preserve">Research and development projects involving electrical systems.</w:t>
      </w:r>
    </w:p>
    <w:bookmarkEnd w:id="23"/>
    <w:bookmarkStart w:id="24" w:name="responsibilities"/>
    <w:p>
      <w:pPr>
        <w:pStyle w:val="Heading2"/>
      </w:pPr>
      <w:r>
        <w:t xml:space="preserve">4. Responsibilities</w:t>
      </w:r>
    </w:p>
    <w:p>
      <w:pPr>
        <w:pStyle w:val="FirstParagraph"/>
      </w:pPr>
      <w:r>
        <w:t xml:space="preserve">The following roles and responsibilities are defined for the successful implementation of this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Design and oversee the experiment, ensure compliance with safety standards, and analyze results.</w:t>
            </w:r>
          </w:p>
        </w:tc>
      </w:tr>
      <w:tr>
        <w:tc>
          <w:tcPr/>
          <w:p>
            <w:pPr>
              <w:pStyle w:val="Compact"/>
              <w:jc w:val="left"/>
            </w:pPr>
            <w:r>
              <w:t xml:space="preserve">Technicians</w:t>
            </w:r>
          </w:p>
        </w:tc>
        <w:tc>
          <w:tcPr/>
          <w:p>
            <w:pPr>
              <w:pStyle w:val="Compact"/>
              <w:jc w:val="left"/>
            </w:pPr>
            <w:r>
              <w:t xml:space="preserve">Assist in setting up equipment, conducting tests, and recording data.</w:t>
            </w:r>
          </w:p>
        </w:tc>
      </w:tr>
      <w:tr>
        <w:tc>
          <w:tcPr/>
          <w:p>
            <w:pPr>
              <w:pStyle w:val="Compact"/>
              <w:jc w:val="left"/>
            </w:pPr>
            <w:r>
              <w:t xml:space="preserve">Safety Officer</w:t>
            </w:r>
          </w:p>
        </w:tc>
        <w:tc>
          <w:tcPr/>
          <w:p>
            <w:pPr>
              <w:pStyle w:val="Compact"/>
              <w:jc w:val="left"/>
            </w:pPr>
            <w:r>
              <w:t xml:space="preserve">Monitor safety practices, conduct risk assessments, and ensure adherence to safety protocols.</w:t>
            </w:r>
          </w:p>
        </w:tc>
      </w:tr>
      <w:tr>
        <w:tc>
          <w:tcPr/>
          <w:p>
            <w:pPr>
              <w:pStyle w:val="Compact"/>
              <w:jc w:val="left"/>
            </w:pPr>
            <w:r>
              <w:t xml:space="preserve">Project Manager</w:t>
            </w:r>
          </w:p>
        </w:tc>
        <w:tc>
          <w:tcPr/>
          <w:p>
            <w:pPr>
              <w:pStyle w:val="Compact"/>
              <w:jc w:val="left"/>
            </w:pPr>
            <w:r>
              <w:t xml:space="preserve">Coordinate resources, manage timelines, and ensure project objectives are met.</w:t>
            </w:r>
          </w:p>
        </w:tc>
      </w:tr>
    </w:tbl>
    <w:bookmarkEnd w:id="24"/>
    <w:bookmarkStart w:id="25" w:name="safety-procedures"/>
    <w:p>
      <w:pPr>
        <w:pStyle w:val="Heading2"/>
      </w:pPr>
      <w:r>
        <w:t xml:space="preserve">5. Safety Procedures</w:t>
      </w:r>
    </w:p>
    <w:p>
      <w:pPr>
        <w:pStyle w:val="FirstParagraph"/>
      </w:pPr>
      <w:r>
        <w:t xml:space="preserve">Safety is paramount in all electrical experiments. The following procedures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3"/>
        </w:numPr>
        <w:pStyle w:val="Compact"/>
      </w:pPr>
      <w:r>
        <w:rPr>
          <w:bCs/>
          <w:b/>
        </w:rPr>
        <w:t xml:space="preserve">Lockout/Tagout (LOTO):</w:t>
      </w:r>
      <w:r>
        <w:t xml:space="preserve"> </w:t>
      </w:r>
      <w:r>
        <w:t xml:space="preserve">Implement LOTO procedures to prevent accidental energization of equipment during maintenance or testing.</w:t>
      </w:r>
    </w:p>
    <w:p>
      <w:pPr>
        <w:numPr>
          <w:ilvl w:val="0"/>
          <w:numId w:val="1003"/>
        </w:numPr>
        <w:pStyle w:val="Compact"/>
      </w:pPr>
      <w:r>
        <w:rPr>
          <w:bCs/>
          <w:b/>
        </w:rPr>
        <w:t xml:space="preserve">Grounding:</w:t>
      </w:r>
      <w:r>
        <w:t xml:space="preserve"> </w:t>
      </w:r>
      <w:r>
        <w:t xml:space="preserve">Ensure all equipment is properly grounded to prevent electrical shocks.</w:t>
      </w:r>
    </w:p>
    <w:p>
      <w:pPr>
        <w:numPr>
          <w:ilvl w:val="0"/>
          <w:numId w:val="1003"/>
        </w:numPr>
        <w:pStyle w:val="Compact"/>
      </w:pPr>
      <w:r>
        <w:rPr>
          <w:bCs/>
          <w:b/>
        </w:rPr>
        <w:t xml:space="preserve">Emergency Procedures:</w:t>
      </w:r>
      <w:r>
        <w:t xml:space="preserve"> </w:t>
      </w:r>
      <w:r>
        <w:t xml:space="preserve">Familiarize all personnel with emergency shutdown procedures and first aid protocols.</w:t>
      </w:r>
    </w:p>
    <w:p>
      <w:pPr>
        <w:numPr>
          <w:ilvl w:val="0"/>
          <w:numId w:val="1003"/>
        </w:numPr>
        <w:pStyle w:val="Compact"/>
      </w:pPr>
      <w:r>
        <w:rPr>
          <w:bCs/>
          <w:b/>
        </w:rPr>
        <w:t xml:space="preserve">Training:</w:t>
      </w:r>
      <w:r>
        <w:t xml:space="preserve"> </w:t>
      </w:r>
      <w:r>
        <w:t xml:space="preserve">Conduct regular safety training sessions to keep personnel updated on best practices and new regulations.</w:t>
      </w:r>
    </w:p>
    <w:p>
      <w:pPr>
        <w:pStyle w:val="FirstParagraph"/>
      </w:pPr>
      <w:r>
        <w:rPr>
          <w:bCs/>
          <w:b/>
        </w:rPr>
        <w:t xml:space="preserve">Note:</w:t>
      </w:r>
      <w:r>
        <w:t xml:space="preserve"> </w:t>
      </w:r>
      <w:r>
        <w:t xml:space="preserve">In Canada Vancouver, specific local regulations may apply. Ensure all safety measures comply with the BC Safety Authority guidelines.</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conducting electrical experiments:</w:t>
      </w:r>
    </w:p>
    <w:p>
      <w:pPr>
        <w:numPr>
          <w:ilvl w:val="0"/>
          <w:numId w:val="1004"/>
        </w:numPr>
        <w:pStyle w:val="Compact"/>
      </w:pPr>
      <w:r>
        <w:t xml:space="preserve">Multimeters</w:t>
      </w:r>
    </w:p>
    <w:p>
      <w:pPr>
        <w:numPr>
          <w:ilvl w:val="0"/>
          <w:numId w:val="1004"/>
        </w:numPr>
        <w:pStyle w:val="Compact"/>
      </w:pPr>
      <w:r>
        <w:t xml:space="preserve">Oscilloscopes</w:t>
      </w:r>
    </w:p>
    <w:p>
      <w:pPr>
        <w:numPr>
          <w:ilvl w:val="0"/>
          <w:numId w:val="1004"/>
        </w:numPr>
        <w:pStyle w:val="Compact"/>
      </w:pPr>
      <w:r>
        <w:t xml:space="preserve">Power supplies</w:t>
      </w:r>
    </w:p>
    <w:p>
      <w:pPr>
        <w:numPr>
          <w:ilvl w:val="0"/>
          <w:numId w:val="1004"/>
        </w:numPr>
        <w:pStyle w:val="Compact"/>
      </w:pPr>
      <w:r>
        <w:t xml:space="preserve">Insulation testers</w:t>
      </w:r>
    </w:p>
    <w:p>
      <w:pPr>
        <w:numPr>
          <w:ilvl w:val="0"/>
          <w:numId w:val="1004"/>
        </w:numPr>
        <w:pStyle w:val="Compact"/>
      </w:pPr>
      <w:r>
        <w:t xml:space="preserve">Circuit breakers and fuses</w:t>
      </w:r>
    </w:p>
    <w:p>
      <w:pPr>
        <w:numPr>
          <w:ilvl w:val="0"/>
          <w:numId w:val="1004"/>
        </w:numPr>
        <w:pStyle w:val="Compact"/>
      </w:pPr>
      <w:r>
        <w:t xml:space="preserve">Conductive and non-conductive tools</w:t>
      </w:r>
    </w:p>
    <w:p>
      <w:pPr>
        <w:numPr>
          <w:ilvl w:val="0"/>
          <w:numId w:val="1004"/>
        </w:numPr>
        <w:pStyle w:val="Compact"/>
      </w:pPr>
      <w:r>
        <w:t xml:space="preserve">Data logging devices</w:t>
      </w:r>
    </w:p>
    <w:p>
      <w:pPr>
        <w:pStyle w:val="FirstParagraph"/>
      </w:pPr>
      <w:r>
        <w:t xml:space="preserve">All equipment must be calibrated and certified according to the standards set by the Canadian Standards Association (CSA).</w:t>
      </w:r>
    </w:p>
    <w:bookmarkEnd w:id="26"/>
    <w:bookmarkStart w:id="27" w:name="experimental-procedures"/>
    <w:p>
      <w:pPr>
        <w:pStyle w:val="Heading2"/>
      </w:pPr>
      <w:r>
        <w:t xml:space="preserve">7. Experimental Procedures</w:t>
      </w:r>
    </w:p>
    <w:p>
      <w:pPr>
        <w:pStyle w:val="FirstParagraph"/>
      </w:pPr>
      <w:r>
        <w:t xml:space="preserve">The following steps outline the general procedure for conducting electrical experiments:</w:t>
      </w:r>
    </w:p>
    <w:p>
      <w:pPr>
        <w:numPr>
          <w:ilvl w:val="0"/>
          <w:numId w:val="1005"/>
        </w:numPr>
        <w:pStyle w:val="Compact"/>
      </w:pPr>
      <w:r>
        <w:rPr>
          <w:bCs/>
          <w:b/>
        </w:rPr>
        <w:t xml:space="preserve">Preparation:</w:t>
      </w:r>
      <w:r>
        <w:t xml:space="preserve"> </w:t>
      </w:r>
      <w:r>
        <w:t xml:space="preserve">Review the experiment plan, gather necessary equipment, and ensure all safety measures are in place.</w:t>
      </w:r>
    </w:p>
    <w:p>
      <w:pPr>
        <w:numPr>
          <w:ilvl w:val="0"/>
          <w:numId w:val="1005"/>
        </w:numPr>
        <w:pStyle w:val="Compact"/>
      </w:pPr>
      <w:r>
        <w:rPr>
          <w:bCs/>
          <w:b/>
        </w:rPr>
        <w:t xml:space="preserve">Setup:</w:t>
      </w:r>
      <w:r>
        <w:t xml:space="preserve"> </w:t>
      </w:r>
      <w:r>
        <w:t xml:space="preserve">Assemble the experimental setup according to the design specifications. Double-check all connections and configurations.</w:t>
      </w:r>
    </w:p>
    <w:p>
      <w:pPr>
        <w:numPr>
          <w:ilvl w:val="0"/>
          <w:numId w:val="1005"/>
        </w:numPr>
        <w:pStyle w:val="Compact"/>
      </w:pPr>
      <w:r>
        <w:rPr>
          <w:bCs/>
          <w:b/>
        </w:rPr>
        <w:t xml:space="preserve">Calibration:</w:t>
      </w:r>
      <w:r>
        <w:t xml:space="preserve"> </w:t>
      </w:r>
      <w:r>
        <w:t xml:space="preserve">Calibrate all instruments to ensure accurate measurements.</w:t>
      </w:r>
    </w:p>
    <w:p>
      <w:pPr>
        <w:numPr>
          <w:ilvl w:val="0"/>
          <w:numId w:val="1005"/>
        </w:numPr>
        <w:pStyle w:val="Compact"/>
      </w:pPr>
      <w:r>
        <w:rPr>
          <w:bCs/>
          <w:b/>
        </w:rPr>
        <w:t xml:space="preserve">Execution:</w:t>
      </w:r>
      <w:r>
        <w:t xml:space="preserve"> </w:t>
      </w:r>
      <w:r>
        <w:t xml:space="preserve">Conduct the experiment as planned, carefully monitoring all parameters and recording data.</w:t>
      </w:r>
    </w:p>
    <w:p>
      <w:pPr>
        <w:numPr>
          <w:ilvl w:val="0"/>
          <w:numId w:val="1005"/>
        </w:numPr>
        <w:pStyle w:val="Compact"/>
      </w:pPr>
      <w:r>
        <w:rPr>
          <w:bCs/>
          <w:b/>
        </w:rPr>
        <w:t xml:space="preserve">Analysis:</w:t>
      </w:r>
      <w:r>
        <w:t xml:space="preserve"> </w:t>
      </w:r>
      <w:r>
        <w:t xml:space="preserve">Analyze the collected data to draw conclusions and identify any anomalies.</w:t>
      </w:r>
    </w:p>
    <w:p>
      <w:pPr>
        <w:numPr>
          <w:ilvl w:val="0"/>
          <w:numId w:val="1005"/>
        </w:numPr>
        <w:pStyle w:val="Compact"/>
      </w:pPr>
      <w:r>
        <w:rPr>
          <w:bCs/>
          <w:b/>
        </w:rPr>
        <w:t xml:space="preserve">Documentation:</w:t>
      </w:r>
      <w:r>
        <w:t xml:space="preserve"> </w:t>
      </w:r>
      <w:r>
        <w:t xml:space="preserve">Document all findings, including any deviations from the planned procedure.</w:t>
      </w:r>
    </w:p>
    <w:bookmarkEnd w:id="27"/>
    <w:bookmarkStart w:id="28" w:name="data-collection-and-analysis"/>
    <w:p>
      <w:pPr>
        <w:pStyle w:val="Heading2"/>
      </w:pPr>
      <w:r>
        <w:t xml:space="preserve">8. Data Collection and Analysis</w:t>
      </w:r>
    </w:p>
    <w:p>
      <w:pPr>
        <w:pStyle w:val="FirstParagraph"/>
      </w:pPr>
      <w:r>
        <w:t xml:space="preserve">Accurate data collection and analysis are critical for the success of any electrical experiment. The following guidelines should be followed:</w:t>
      </w:r>
    </w:p>
    <w:p>
      <w:pPr>
        <w:numPr>
          <w:ilvl w:val="0"/>
          <w:numId w:val="1006"/>
        </w:numPr>
        <w:pStyle w:val="Compact"/>
      </w:pPr>
      <w:r>
        <w:t xml:space="preserve">Use calibrated instruments for all measurements.</w:t>
      </w:r>
    </w:p>
    <w:p>
      <w:pPr>
        <w:numPr>
          <w:ilvl w:val="0"/>
          <w:numId w:val="1006"/>
        </w:numPr>
        <w:pStyle w:val="Compact"/>
      </w:pPr>
      <w:r>
        <w:t xml:space="preserve">Record data in a standardized format to facilitate analysis.</w:t>
      </w:r>
    </w:p>
    <w:p>
      <w:pPr>
        <w:numPr>
          <w:ilvl w:val="0"/>
          <w:numId w:val="1006"/>
        </w:numPr>
        <w:pStyle w:val="Compact"/>
      </w:pPr>
      <w:r>
        <w:t xml:space="preserve">Perform multiple trials to ensure the reliability of the results.</w:t>
      </w:r>
    </w:p>
    <w:p>
      <w:pPr>
        <w:numPr>
          <w:ilvl w:val="0"/>
          <w:numId w:val="1006"/>
        </w:numPr>
        <w:pStyle w:val="Compact"/>
      </w:pPr>
      <w:r>
        <w:t xml:space="preserve">Use statistical methods to analyze data and identify trends.</w:t>
      </w:r>
    </w:p>
    <w:p>
      <w:pPr>
        <w:numPr>
          <w:ilvl w:val="0"/>
          <w:numId w:val="1006"/>
        </w:numPr>
        <w:pStyle w:val="Compact"/>
      </w:pPr>
      <w:r>
        <w:t xml:space="preserve">Compare results with theoretical predictions and previous experiments.</w:t>
      </w:r>
    </w:p>
    <w:bookmarkEnd w:id="28"/>
    <w:bookmarkStart w:id="29" w:name="compliance-and-regulations"/>
    <w:p>
      <w:pPr>
        <w:pStyle w:val="Heading2"/>
      </w:pPr>
      <w:r>
        <w:t xml:space="preserve">9. Compliance and Regulations</w:t>
      </w:r>
    </w:p>
    <w:p>
      <w:pPr>
        <w:pStyle w:val="FirstParagraph"/>
      </w:pPr>
      <w:r>
        <w:t xml:space="preserve">All experiments must comply with the relevant codes and regulations in Canada Vancouver. Key regulatory bodies and standards include:</w:t>
      </w:r>
    </w:p>
    <w:p>
      <w:pPr>
        <w:numPr>
          <w:ilvl w:val="0"/>
          <w:numId w:val="1007"/>
        </w:numPr>
        <w:pStyle w:val="Compact"/>
      </w:pPr>
      <w:r>
        <w:t xml:space="preserve">Canadian Electrical Code (CEC)</w:t>
      </w:r>
    </w:p>
    <w:p>
      <w:pPr>
        <w:numPr>
          <w:ilvl w:val="0"/>
          <w:numId w:val="1007"/>
        </w:numPr>
        <w:pStyle w:val="Compact"/>
      </w:pPr>
      <w:r>
        <w:t xml:space="preserve">BC Safety Authority</w:t>
      </w:r>
    </w:p>
    <w:p>
      <w:pPr>
        <w:numPr>
          <w:ilvl w:val="0"/>
          <w:numId w:val="1007"/>
        </w:numPr>
        <w:pStyle w:val="Compact"/>
      </w:pPr>
      <w:r>
        <w:t xml:space="preserve">Canadian Standards Association (CSA)</w:t>
      </w:r>
    </w:p>
    <w:p>
      <w:pPr>
        <w:numPr>
          <w:ilvl w:val="0"/>
          <w:numId w:val="1007"/>
        </w:numPr>
        <w:pStyle w:val="Compact"/>
      </w:pPr>
      <w:r>
        <w:t xml:space="preserve">Local municipal regulations</w:t>
      </w:r>
    </w:p>
    <w:p>
      <w:pPr>
        <w:pStyle w:val="FirstParagraph"/>
      </w:pPr>
      <w:r>
        <w:t xml:space="preserve">Electrical Engineers are responsible for ensuring that all experiments meet these requirements.</w:t>
      </w:r>
    </w:p>
    <w:bookmarkEnd w:id="29"/>
    <w:bookmarkStart w:id="30" w:name="conclusion"/>
    <w:p>
      <w:pPr>
        <w:pStyle w:val="Heading2"/>
      </w:pPr>
      <w:r>
        <w:t xml:space="preserve">10. Conclusion</w:t>
      </w:r>
    </w:p>
    <w:p>
      <w:pPr>
        <w:pStyle w:val="FirstParagraph"/>
      </w:pPr>
      <w:r>
        <w:t xml:space="preserve">This Experiment Protocol provides a comprehensive framework for conducting electrical experiments in Canada Vancouver. By adhering to the outlined procedures and guidelines, Electrical Engineers can ensure the safety, accuracy, and compliance of their work. Regular reviews and updates to this protocol will help maintain its relevance and effectiveness in the evolving field of electrical engineering.</w:t>
      </w:r>
    </w:p>
    <w:bookmarkEnd w:id="30"/>
    <w:bookmarkStart w:id="31" w:name="references"/>
    <w:p>
      <w:pPr>
        <w:pStyle w:val="Heading2"/>
      </w:pPr>
      <w:r>
        <w:t xml:space="preserve">11. References</w:t>
      </w:r>
    </w:p>
    <w:p>
      <w:pPr>
        <w:numPr>
          <w:ilvl w:val="0"/>
          <w:numId w:val="1008"/>
        </w:numPr>
        <w:pStyle w:val="Compact"/>
      </w:pPr>
      <w:r>
        <w:t xml:space="preserve">Canadian Electrical Code (CEC)</w:t>
      </w:r>
    </w:p>
    <w:p>
      <w:pPr>
        <w:numPr>
          <w:ilvl w:val="0"/>
          <w:numId w:val="1008"/>
        </w:numPr>
        <w:pStyle w:val="Compact"/>
      </w:pPr>
      <w:r>
        <w:t xml:space="preserve">BC Safety Authority Guidelines</w:t>
      </w:r>
    </w:p>
    <w:p>
      <w:pPr>
        <w:numPr>
          <w:ilvl w:val="0"/>
          <w:numId w:val="1008"/>
        </w:numPr>
        <w:pStyle w:val="Compact"/>
      </w:pPr>
      <w:r>
        <w:t xml:space="preserve">Canadian Standards Association (CSA) Standards</w:t>
      </w:r>
    </w:p>
    <w:p>
      <w:pPr>
        <w:numPr>
          <w:ilvl w:val="0"/>
          <w:numId w:val="1008"/>
        </w:numPr>
        <w:pStyle w:val="Compact"/>
      </w:pPr>
      <w:r>
        <w:t xml:space="preserve">Local Municipal Regulations for Canada Vancouver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Canada Vancouver</dc:title>
  <dc:creator/>
  <dc:language>en</dc:language>
  <cp:keywords/>
  <dcterms:created xsi:type="dcterms:W3CDTF">2026-10-10T05:38:24Z</dcterms:created>
  <dcterms:modified xsi:type="dcterms:W3CDTF">2026-10-10T05:38:24Z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