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Chile</w:t>
      </w:r>
      <w:r>
        <w:t xml:space="preserve"> </w:t>
      </w:r>
      <w:r>
        <w:t xml:space="preserve">Santiago</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Evaluation of Power Quality and Harmonic Distortion in Urban Electrical Networks</w:t>
      </w:r>
    </w:p>
    <w:p>
      <w:pPr>
        <w:pStyle w:val="BodyText"/>
      </w:pPr>
      <w:r>
        <w:rPr>
          <w:bCs/>
          <w:b/>
        </w:rPr>
        <w:t xml:space="preserve">Location:</w:t>
      </w:r>
      <w:r>
        <w:t xml:space="preserve"> </w:t>
      </w:r>
      <w:r>
        <w:t xml:space="preserve">Santiago, Chile</w:t>
      </w:r>
    </w:p>
    <w:p>
      <w:pPr>
        <w:pStyle w:val="BodyText"/>
      </w:pPr>
      <w:r>
        <w:rPr>
          <w:bCs/>
          <w:b/>
        </w:rPr>
        <w:t xml:space="preserve">Lead Electrical Engineer:</w:t>
      </w:r>
      <w:r>
        <w:t xml:space="preserve"> </w:t>
      </w:r>
      <w:r>
        <w:t xml:space="preserve">[Name]</w:t>
      </w:r>
    </w:p>
    <w:p>
      <w:pPr>
        <w:pStyle w:val="BodyText"/>
      </w:pPr>
      <w:r>
        <w:rPr>
          <w:bCs/>
          <w:b/>
        </w:rPr>
        <w:t xml:space="preserve">Date:</w:t>
      </w:r>
      <w:r>
        <w:t xml:space="preserve"> </w:t>
      </w:r>
      <w:r>
        <w:t xml:space="preserve">[Date]</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for assessing power quality and harmonic distortion in the electrical distribution network of Santiago, Chile. The study is conducted by a qualified Electrical Engineer to ensure compliance with local regulations, including the Chilean Electrical Code (NCh Elec 4/2003) and international standards such as IEEE 519-2022. The objective is to identify potential issues affecting the reliability and efficiency of the power supply in urban areas of Santiago.</w:t>
      </w:r>
    </w:p>
    <w:bookmarkEnd w:id="21"/>
    <w:bookmarkStart w:id="22" w:name="objectives"/>
    <w:p>
      <w:pPr>
        <w:pStyle w:val="Heading2"/>
      </w:pPr>
      <w:r>
        <w:t xml:space="preserve">2. Objectives</w:t>
      </w:r>
    </w:p>
    <w:p>
      <w:pPr>
        <w:numPr>
          <w:ilvl w:val="0"/>
          <w:numId w:val="1001"/>
        </w:numPr>
        <w:pStyle w:val="Compact"/>
      </w:pPr>
      <w:r>
        <w:t xml:space="preserve">Measure voltage and current harmonics at selected substations and consumer points in Santiago.</w:t>
      </w:r>
    </w:p>
    <w:p>
      <w:pPr>
        <w:numPr>
          <w:ilvl w:val="0"/>
          <w:numId w:val="1001"/>
        </w:numPr>
        <w:pStyle w:val="Compact"/>
      </w:pPr>
      <w:r>
        <w:t xml:space="preserve">Evaluate compliance with harmonic limits defined by the National Energy Commission (CNE) of Chile.</w:t>
      </w:r>
    </w:p>
    <w:p>
      <w:pPr>
        <w:numPr>
          <w:ilvl w:val="0"/>
          <w:numId w:val="1001"/>
        </w:numPr>
        <w:pStyle w:val="Compact"/>
      </w:pPr>
      <w:r>
        <w:t xml:space="preserve">Identify sources of harmonic distortion and their impact on the grid.</w:t>
      </w:r>
    </w:p>
    <w:p>
      <w:pPr>
        <w:numPr>
          <w:ilvl w:val="0"/>
          <w:numId w:val="1001"/>
        </w:numPr>
        <w:pStyle w:val="Compact"/>
      </w:pPr>
      <w:r>
        <w:t xml:space="preserve">Provide recommendations for mitigating power quality issues.</w:t>
      </w:r>
    </w:p>
    <w:bookmarkEnd w:id="22"/>
    <w:bookmarkStart w:id="23" w:name="scope"/>
    <w:p>
      <w:pPr>
        <w:pStyle w:val="Heading2"/>
      </w:pPr>
      <w:r>
        <w:t xml:space="preserve">3. Scope</w:t>
      </w:r>
    </w:p>
    <w:p>
      <w:pPr>
        <w:pStyle w:val="FirstParagraph"/>
      </w:pPr>
      <w:r>
        <w:t xml:space="preserve">This experiment focuses on the medium-voltage (13.8 kV) and low-voltage (220/380 V) networks in Santiago. The study will cover residential, commercial, and industrial zones, with particular attention to areas with high concentrations of non-linear loads, such as variable frequency drives (VFDs) and renewable energy systems.</w:t>
      </w:r>
    </w:p>
    <w:bookmarkEnd w:id="23"/>
    <w:bookmarkStart w:id="27" w:name="methodology"/>
    <w:p>
      <w:pPr>
        <w:pStyle w:val="Heading2"/>
      </w:pPr>
      <w:r>
        <w:t xml:space="preserve">4. Methodology</w:t>
      </w:r>
    </w:p>
    <w:bookmarkStart w:id="24" w:name="equipment"/>
    <w:p>
      <w:pPr>
        <w:pStyle w:val="Heading3"/>
      </w:pPr>
      <w:r>
        <w:t xml:space="preserve">4.1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w:t>
            </w:r>
          </w:p>
        </w:tc>
        <w:tc>
          <w:tcPr/>
          <w:p>
            <w:pPr>
              <w:pStyle w:val="Compact"/>
              <w:jc w:val="left"/>
            </w:pPr>
            <w:r>
              <w:t xml:space="preserve">Specifications</w:t>
            </w:r>
          </w:p>
        </w:tc>
        <w:tc>
          <w:tcPr/>
          <w:p>
            <w:pPr>
              <w:pStyle w:val="Compact"/>
              <w:jc w:val="left"/>
            </w:pPr>
            <w:r>
              <w:t xml:space="preserve">Quantity</w:t>
            </w:r>
          </w:p>
        </w:tc>
      </w:tr>
      <w:tr>
        <w:tc>
          <w:tcPr/>
          <w:p>
            <w:pPr>
              <w:pStyle w:val="Compact"/>
              <w:jc w:val="left"/>
            </w:pPr>
            <w:r>
              <w:t xml:space="preserve">Power Quality Analyzer</w:t>
            </w:r>
          </w:p>
        </w:tc>
        <w:tc>
          <w:tcPr/>
          <w:p>
            <w:pPr>
              <w:pStyle w:val="Compact"/>
              <w:jc w:val="left"/>
            </w:pPr>
            <w:r>
              <w:t xml:space="preserve">Class A, IEC 61000-4-30 compliant</w:t>
            </w:r>
          </w:p>
        </w:tc>
        <w:tc>
          <w:tcPr/>
          <w:p>
            <w:pPr>
              <w:pStyle w:val="Compact"/>
              <w:jc w:val="left"/>
            </w:pPr>
            <w:r>
              <w:t xml:space="preserve">5</w:t>
            </w:r>
          </w:p>
        </w:tc>
      </w:tr>
      <w:tr>
        <w:tc>
          <w:tcPr/>
          <w:p>
            <w:pPr>
              <w:pStyle w:val="Compact"/>
              <w:jc w:val="left"/>
            </w:pPr>
            <w:r>
              <w:t xml:space="preserve">Current Transformers (CTs)</w:t>
            </w:r>
          </w:p>
        </w:tc>
        <w:tc>
          <w:tcPr/>
          <w:p>
            <w:pPr>
              <w:pStyle w:val="Compact"/>
              <w:jc w:val="left"/>
            </w:pPr>
            <w:r>
              <w:t xml:space="preserve">1000/5 A, 0.5 class accuracy</w:t>
            </w:r>
          </w:p>
        </w:tc>
        <w:tc>
          <w:tcPr/>
          <w:p>
            <w:pPr>
              <w:pStyle w:val="Compact"/>
              <w:jc w:val="left"/>
            </w:pPr>
            <w:r>
              <w:t xml:space="preserve">10</w:t>
            </w:r>
          </w:p>
        </w:tc>
      </w:tr>
      <w:tr>
        <w:tc>
          <w:tcPr/>
          <w:p>
            <w:pPr>
              <w:pStyle w:val="Compact"/>
              <w:jc w:val="left"/>
            </w:pPr>
            <w:r>
              <w:t xml:space="preserve">Voltage Transformers (VTs)</w:t>
            </w:r>
          </w:p>
        </w:tc>
        <w:tc>
          <w:tcPr/>
          <w:p>
            <w:pPr>
              <w:pStyle w:val="Compact"/>
              <w:jc w:val="left"/>
            </w:pPr>
            <w:r>
              <w:t xml:space="preserve">13.8 kV/110 V, 0.2 class accuracy</w:t>
            </w:r>
          </w:p>
        </w:tc>
        <w:tc>
          <w:tcPr/>
          <w:p>
            <w:pPr>
              <w:pStyle w:val="Compact"/>
              <w:jc w:val="left"/>
            </w:pPr>
            <w:r>
              <w:t xml:space="preserve">5</w:t>
            </w:r>
          </w:p>
        </w:tc>
      </w:tr>
      <w:tr>
        <w:tc>
          <w:tcPr/>
          <w:p>
            <w:pPr>
              <w:pStyle w:val="Compact"/>
              <w:jc w:val="left"/>
            </w:pPr>
            <w:r>
              <w:t xml:space="preserve">Data Logger</w:t>
            </w:r>
          </w:p>
        </w:tc>
        <w:tc>
          <w:tcPr/>
          <w:p>
            <w:pPr>
              <w:pStyle w:val="Compact"/>
              <w:jc w:val="left"/>
            </w:pPr>
            <w:r>
              <w:t xml:space="preserve">High-resolution, GPS-synchronized</w:t>
            </w:r>
          </w:p>
        </w:tc>
        <w:tc>
          <w:tcPr/>
          <w:p>
            <w:pPr>
              <w:pStyle w:val="Compact"/>
              <w:jc w:val="left"/>
            </w:pPr>
            <w:r>
              <w:t xml:space="preserve">5</w:t>
            </w:r>
          </w:p>
        </w:tc>
      </w:tr>
    </w:tbl>
    <w:bookmarkEnd w:id="24"/>
    <w:bookmarkStart w:id="25" w:name="measurement-points"/>
    <w:p>
      <w:pPr>
        <w:pStyle w:val="Heading3"/>
      </w:pPr>
      <w:r>
        <w:t xml:space="preserve">4.2 Measurement Points</w:t>
      </w:r>
    </w:p>
    <w:p>
      <w:pPr>
        <w:pStyle w:val="FirstParagraph"/>
      </w:pPr>
      <w:r>
        <w:t xml:space="preserve">The following locations in Santiago have been selected for measurements:</w:t>
      </w:r>
    </w:p>
    <w:p>
      <w:pPr>
        <w:numPr>
          <w:ilvl w:val="0"/>
          <w:numId w:val="1002"/>
        </w:numPr>
        <w:pStyle w:val="Compact"/>
      </w:pPr>
      <w:r>
        <w:t xml:space="preserve">Substation Las Condes (13.8 kV)</w:t>
      </w:r>
    </w:p>
    <w:p>
      <w:pPr>
        <w:numPr>
          <w:ilvl w:val="0"/>
          <w:numId w:val="1002"/>
        </w:numPr>
        <w:pStyle w:val="Compact"/>
      </w:pPr>
      <w:r>
        <w:t xml:space="preserve">Industrial Zone Quilicura (220/380 V)</w:t>
      </w:r>
    </w:p>
    <w:p>
      <w:pPr>
        <w:numPr>
          <w:ilvl w:val="0"/>
          <w:numId w:val="1002"/>
        </w:numPr>
        <w:pStyle w:val="Compact"/>
      </w:pPr>
      <w:r>
        <w:t xml:space="preserve">Commercial District Providencia (220/380 V)</w:t>
      </w:r>
    </w:p>
    <w:p>
      <w:pPr>
        <w:numPr>
          <w:ilvl w:val="0"/>
          <w:numId w:val="1002"/>
        </w:numPr>
        <w:pStyle w:val="Compact"/>
      </w:pPr>
      <w:r>
        <w:t xml:space="preserve">Residential Area Ñuñoa (220/380 V)</w:t>
      </w:r>
    </w:p>
    <w:p>
      <w:pPr>
        <w:numPr>
          <w:ilvl w:val="0"/>
          <w:numId w:val="1002"/>
        </w:numPr>
        <w:pStyle w:val="Compact"/>
      </w:pPr>
      <w:r>
        <w:t xml:space="preserve">Solar Farm Connection Point Maipú (13.8 kV)</w:t>
      </w:r>
    </w:p>
    <w:bookmarkEnd w:id="25"/>
    <w:bookmarkStart w:id="26" w:name="procedure"/>
    <w:p>
      <w:pPr>
        <w:pStyle w:val="Heading3"/>
      </w:pPr>
      <w:r>
        <w:t xml:space="preserve">4.3 Procedure</w:t>
      </w:r>
    </w:p>
    <w:p>
      <w:pPr>
        <w:numPr>
          <w:ilvl w:val="0"/>
          <w:numId w:val="1003"/>
        </w:numPr>
        <w:pStyle w:val="Compact"/>
      </w:pPr>
      <w:r>
        <w:t xml:space="preserve">Calibrate all measurement equipment according to manufacturer guidelines.</w:t>
      </w:r>
    </w:p>
    <w:p>
      <w:pPr>
        <w:numPr>
          <w:ilvl w:val="0"/>
          <w:numId w:val="1003"/>
        </w:numPr>
        <w:pStyle w:val="Compact"/>
      </w:pPr>
      <w:r>
        <w:t xml:space="preserve">Install CTs and VTs at designated measurement points.</w:t>
      </w:r>
    </w:p>
    <w:p>
      <w:pPr>
        <w:numPr>
          <w:ilvl w:val="0"/>
          <w:numId w:val="1003"/>
        </w:numPr>
        <w:pStyle w:val="Compact"/>
      </w:pPr>
      <w:r>
        <w:t xml:space="preserve">Configure power quality analyzers to record data at a sampling rate of 12,800 samples per cycle.</w:t>
      </w:r>
    </w:p>
    <w:p>
      <w:pPr>
        <w:numPr>
          <w:ilvl w:val="0"/>
          <w:numId w:val="1003"/>
        </w:numPr>
        <w:pStyle w:val="Compact"/>
      </w:pPr>
      <w:r>
        <w:t xml:space="preserve">Collect data continuously for a period of 7 days to capture variations in load profiles.</w:t>
      </w:r>
    </w:p>
    <w:p>
      <w:pPr>
        <w:numPr>
          <w:ilvl w:val="0"/>
          <w:numId w:val="1003"/>
        </w:numPr>
        <w:pStyle w:val="Compact"/>
      </w:pPr>
      <w:r>
        <w:t xml:space="preserve">Monitor environmental conditions (temperature, humidity) to account for their impact on measurements.</w:t>
      </w:r>
    </w:p>
    <w:p>
      <w:pPr>
        <w:numPr>
          <w:ilvl w:val="0"/>
          <w:numId w:val="1003"/>
        </w:numPr>
        <w:pStyle w:val="Compact"/>
      </w:pPr>
      <w:r>
        <w:t xml:space="preserve">Ensure safety protocols are followed, including lockout/tagout procedures and use of personal protective equipment (PPE).</w:t>
      </w:r>
    </w:p>
    <w:bookmarkEnd w:id="26"/>
    <w:bookmarkEnd w:id="27"/>
    <w:bookmarkStart w:id="28" w:name="data-analysis"/>
    <w:p>
      <w:pPr>
        <w:pStyle w:val="Heading2"/>
      </w:pPr>
      <w:r>
        <w:t xml:space="preserve">5. Data Analysis</w:t>
      </w:r>
    </w:p>
    <w:p>
      <w:pPr>
        <w:pStyle w:val="FirstParagraph"/>
      </w:pPr>
      <w:r>
        <w:t xml:space="preserve">The collected data will be analyzed using specialized software to calculate total harmonic distortion (THD), individual harmonic components, and other power quality parameters. Results will be compared against the limits specified in NCh Elec 4/2003 and IEEE 519-2022. Any deviations will be documented and investigated further.</w:t>
      </w:r>
    </w:p>
    <w:bookmarkEnd w:id="28"/>
    <w:bookmarkStart w:id="29" w:name="safety-considerations"/>
    <w:p>
      <w:pPr>
        <w:pStyle w:val="Heading2"/>
      </w:pPr>
      <w:r>
        <w:t xml:space="preserve">6. Safety Considerations</w:t>
      </w:r>
    </w:p>
    <w:p>
      <w:pPr>
        <w:pStyle w:val="FirstParagraph"/>
      </w:pPr>
      <w:r>
        <w:t xml:space="preserve">All personnel involved in this experiment must adhere to the following safety measures:</w:t>
      </w:r>
    </w:p>
    <w:p>
      <w:pPr>
        <w:numPr>
          <w:ilvl w:val="0"/>
          <w:numId w:val="1004"/>
        </w:numPr>
        <w:pStyle w:val="Compact"/>
      </w:pPr>
      <w:r>
        <w:t xml:space="preserve">Wear appropriate PPE, including insulated gloves, safety glasses, and arc-flash suits.</w:t>
      </w:r>
    </w:p>
    <w:p>
      <w:pPr>
        <w:numPr>
          <w:ilvl w:val="0"/>
          <w:numId w:val="1004"/>
        </w:numPr>
        <w:pStyle w:val="Compact"/>
      </w:pPr>
      <w:r>
        <w:t xml:space="preserve">Follow lockout/tagout procedures when working on live equipment.</w:t>
      </w:r>
    </w:p>
    <w:p>
      <w:pPr>
        <w:numPr>
          <w:ilvl w:val="0"/>
          <w:numId w:val="1004"/>
        </w:numPr>
        <w:pStyle w:val="Compact"/>
      </w:pPr>
      <w:r>
        <w:t xml:space="preserve">Conduct a risk assessment before starting measurements at each location.</w:t>
      </w:r>
    </w:p>
    <w:p>
      <w:pPr>
        <w:numPr>
          <w:ilvl w:val="0"/>
          <w:numId w:val="1004"/>
        </w:numPr>
        <w:pStyle w:val="Compact"/>
      </w:pPr>
      <w:r>
        <w:t xml:space="preserve">Ensure emergency response plans are in place and communicated to all team members.</w:t>
      </w:r>
    </w:p>
    <w:bookmarkEnd w:id="29"/>
    <w:bookmarkStart w:id="30" w:name="reporting"/>
    <w:p>
      <w:pPr>
        <w:pStyle w:val="Heading2"/>
      </w:pPr>
      <w:r>
        <w:t xml:space="preserve">7. Reporting</w:t>
      </w:r>
    </w:p>
    <w:p>
      <w:pPr>
        <w:pStyle w:val="FirstParagraph"/>
      </w:pPr>
      <w:r>
        <w:t xml:space="preserve">A comprehensive report will be prepared detailing the findings of the experiment. The report will include:</w:t>
      </w:r>
    </w:p>
    <w:p>
      <w:pPr>
        <w:numPr>
          <w:ilvl w:val="0"/>
          <w:numId w:val="1005"/>
        </w:numPr>
        <w:pStyle w:val="Compact"/>
      </w:pPr>
      <w:r>
        <w:t xml:space="preserve">Summary of measurements and analysis.</w:t>
      </w:r>
    </w:p>
    <w:p>
      <w:pPr>
        <w:numPr>
          <w:ilvl w:val="0"/>
          <w:numId w:val="1005"/>
        </w:numPr>
        <w:pStyle w:val="Compact"/>
      </w:pPr>
      <w:r>
        <w:t xml:space="preserve">Comparison with regulatory limits.</w:t>
      </w:r>
    </w:p>
    <w:p>
      <w:pPr>
        <w:numPr>
          <w:ilvl w:val="0"/>
          <w:numId w:val="1005"/>
        </w:numPr>
        <w:pStyle w:val="Compact"/>
      </w:pPr>
      <w:r>
        <w:t xml:space="preserve">Identification of non-compliant areas and potential causes.</w:t>
      </w:r>
    </w:p>
    <w:p>
      <w:pPr>
        <w:numPr>
          <w:ilvl w:val="0"/>
          <w:numId w:val="1005"/>
        </w:numPr>
        <w:pStyle w:val="Compact"/>
      </w:pPr>
      <w:r>
        <w:t xml:space="preserve">Recommendations for improving power quality.</w:t>
      </w:r>
    </w:p>
    <w:p>
      <w:pPr>
        <w:pStyle w:val="FirstParagraph"/>
      </w:pPr>
      <w:r>
        <w:t xml:space="preserve">The report will be submitted to the relevant stakeholders, including the National Energy Commission (CNE) and local utility companies.</w:t>
      </w:r>
    </w:p>
    <w:bookmarkEnd w:id="30"/>
    <w:bookmarkStart w:id="31" w:name="conclusion"/>
    <w:p>
      <w:pPr>
        <w:pStyle w:val="Heading2"/>
      </w:pPr>
      <w:r>
        <w:t xml:space="preserve">8. Conclusion</w:t>
      </w:r>
    </w:p>
    <w:p>
      <w:pPr>
        <w:pStyle w:val="FirstParagraph"/>
      </w:pPr>
      <w:r>
        <w:t xml:space="preserve">This Experiment Protocol provides a structured approach for evaluating power quality in Santiago, Chile. By adhering to established standards and employing rigorous measurement techniques, the Electrical Engineer will ensure accurate and reliable results. The findings will contribute to enhancing the stability and efficiency of the electrical network in Santiago, benefiting both consumers and utility providers.</w:t>
      </w:r>
    </w:p>
    <w:bookmarkEnd w:id="31"/>
    <w:p>
      <w:pPr>
        <w:pStyle w:val="BodyText"/>
      </w:pPr>
      <w:r>
        <w:rPr>
          <w:bCs/>
          <w:b/>
        </w:rPr>
        <w:t xml:space="preserve">Note:</w:t>
      </w:r>
      <w:r>
        <w:t xml:space="preserve"> </w:t>
      </w:r>
      <w:r>
        <w:t xml:space="preserve">This document is intended for use by qualified Electrical Engineers familiar with the Chilean electrical infrastructure and regulatory framework. Any modifications to the protocol must be approved by the lead engineer.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Chile Santiago</dc:title>
  <dc:creator/>
  <dc:language>en</dc:language>
  <cp:keywords/>
  <dcterms:created xsi:type="dcterms:W3CDTF">2026-10-10T03:56:06Z</dcterms:created>
  <dcterms:modified xsi:type="dcterms:W3CDTF">2026-10-10T03:56:06Z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