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High-Voltage</w:t>
      </w:r>
      <w:r>
        <w:t xml:space="preserve"> </w:t>
      </w:r>
      <w:r>
        <w:t xml:space="preserve">Grid</w:t>
      </w:r>
      <w:r>
        <w:t xml:space="preserve"> </w:t>
      </w:r>
      <w:r>
        <w:t xml:space="preserve">Stability</w:t>
      </w:r>
      <w:r>
        <w:t xml:space="preserve"> </w:t>
      </w:r>
      <w:r>
        <w:t xml:space="preserve">Analysis</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High-Voltage Grid Stability Analysis Under Variable Load Conditions</w:t>
      </w:r>
    </w:p>
    <w:p>
      <w:pPr>
        <w:pStyle w:val="BodyText"/>
      </w:pPr>
      <w:r>
        <w:rPr>
          <w:bCs/>
          <w:b/>
        </w:rPr>
        <w:t xml:space="preserve">Location:</w:t>
      </w:r>
      <w:r>
        <w:t xml:space="preserve"> </w:t>
      </w:r>
      <w:r>
        <w:t xml:space="preserve">Beijing, China</w:t>
      </w:r>
    </w:p>
    <w:p>
      <w:pPr>
        <w:pStyle w:val="BodyText"/>
      </w:pPr>
      <w:r>
        <w:rPr>
          <w:bCs/>
          <w:b/>
        </w:rPr>
        <w:t xml:space="preserve">Lead Electrical Engineer:</w:t>
      </w:r>
      <w:r>
        <w:t xml:space="preserve"> </w:t>
      </w:r>
      <w:r>
        <w:t xml:space="preserve">[Name Redacted]</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Experiment Protocol outlines the procedures for conducting a comprehensive analysis of high-voltage grid stability in the urban power distribution network of Beijing, China. The primary objective is to evaluate the performance of electrical infrastructure under variable load conditions, ensuring compliance with national standards and enhancing the reliability of power supply in one of the world's most densely populated cities.</w:t>
      </w:r>
    </w:p>
    <w:p>
      <w:pPr>
        <w:pStyle w:val="BodyText"/>
      </w:pPr>
      <w:r>
        <w:t xml:space="preserve">As an Electrical Engineer, it is crucial to adhere to rigorous testing methodologies that align with both international best practices and local regulations specific to China. This document serves as a guide for all personnel involved in the experiment, ensuring safety, accuracy, and consistency throughout the process.</w:t>
      </w:r>
    </w:p>
    <w:bookmarkEnd w:id="21"/>
    <w:bookmarkStart w:id="22" w:name="objectives"/>
    <w:p>
      <w:pPr>
        <w:pStyle w:val="Heading2"/>
      </w:pPr>
      <w:r>
        <w:t xml:space="preserve">2. Objectives</w:t>
      </w:r>
    </w:p>
    <w:p>
      <w:pPr>
        <w:numPr>
          <w:ilvl w:val="0"/>
          <w:numId w:val="1001"/>
        </w:numPr>
        <w:pStyle w:val="Compact"/>
      </w:pPr>
      <w:r>
        <w:t xml:space="preserve">To assess the stability of the high-voltage grid during peak and off-peak hours.</w:t>
      </w:r>
    </w:p>
    <w:p>
      <w:pPr>
        <w:numPr>
          <w:ilvl w:val="0"/>
          <w:numId w:val="1001"/>
        </w:numPr>
        <w:pStyle w:val="Compact"/>
      </w:pPr>
      <w:r>
        <w:t xml:space="preserve">To identify potential vulnerabilities in the current electrical infrastructure.</w:t>
      </w:r>
    </w:p>
    <w:p>
      <w:pPr>
        <w:numPr>
          <w:ilvl w:val="0"/>
          <w:numId w:val="1001"/>
        </w:numPr>
        <w:pStyle w:val="Compact"/>
      </w:pPr>
      <w:r>
        <w:t xml:space="preserve">To propose improvements based on experimental findings.</w:t>
      </w:r>
    </w:p>
    <w:p>
      <w:pPr>
        <w:numPr>
          <w:ilvl w:val="0"/>
          <w:numId w:val="1001"/>
        </w:numPr>
        <w:pStyle w:val="Compact"/>
      </w:pPr>
      <w:r>
        <w:t xml:space="preserve">To ensure compliance with Chinese national standards (GB) for electrical systems.</w:t>
      </w:r>
    </w:p>
    <w:bookmarkEnd w:id="22"/>
    <w:bookmarkStart w:id="23" w:name="scope"/>
    <w:p>
      <w:pPr>
        <w:pStyle w:val="Heading2"/>
      </w:pPr>
      <w:r>
        <w:t xml:space="preserve">3. Scope</w:t>
      </w:r>
    </w:p>
    <w:p>
      <w:pPr>
        <w:pStyle w:val="FirstParagraph"/>
      </w:pPr>
      <w:r>
        <w:t xml:space="preserve">The scope of this experiment includes:</w:t>
      </w:r>
    </w:p>
    <w:p>
      <w:pPr>
        <w:numPr>
          <w:ilvl w:val="0"/>
          <w:numId w:val="1002"/>
        </w:numPr>
        <w:pStyle w:val="Compact"/>
      </w:pPr>
      <w:r>
        <w:t xml:space="preserve">Testing conducted within designated substations in Beijing.</w:t>
      </w:r>
    </w:p>
    <w:p>
      <w:pPr>
        <w:numPr>
          <w:ilvl w:val="0"/>
          <w:numId w:val="1002"/>
        </w:numPr>
        <w:pStyle w:val="Compact"/>
      </w:pPr>
      <w:r>
        <w:t xml:space="preserve">Monitoring of voltage levels, frequency stability, and harmonic distortion.</w:t>
      </w:r>
    </w:p>
    <w:p>
      <w:pPr>
        <w:numPr>
          <w:ilvl w:val="0"/>
          <w:numId w:val="1002"/>
        </w:numPr>
        <w:pStyle w:val="Compact"/>
      </w:pPr>
      <w:r>
        <w:t xml:space="preserve">Analysis of data collected over a period of three months.</w:t>
      </w:r>
    </w:p>
    <w:bookmarkEnd w:id="23"/>
    <w:bookmarkStart w:id="24" w:name="equipment-and-materials"/>
    <w:p>
      <w:pPr>
        <w:pStyle w:val="Heading2"/>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Power Quality Analyzer</w:t>
            </w:r>
          </w:p>
        </w:tc>
        <w:tc>
          <w:tcPr/>
          <w:p>
            <w:pPr>
              <w:pStyle w:val="Compact"/>
              <w:jc w:val="left"/>
            </w:pPr>
            <w:r>
              <w:t xml:space="preserve">For measuring voltage, current, and harmonics</w:t>
            </w:r>
          </w:p>
        </w:tc>
        <w:tc>
          <w:tcPr/>
          <w:p>
            <w:pPr>
              <w:pStyle w:val="Compact"/>
              <w:jc w:val="left"/>
            </w:pPr>
            <w:r>
              <w:t xml:space="preserve">5</w:t>
            </w:r>
          </w:p>
        </w:tc>
      </w:tr>
      <w:tr>
        <w:tc>
          <w:tcPr/>
          <w:p>
            <w:pPr>
              <w:pStyle w:val="Compact"/>
              <w:jc w:val="left"/>
            </w:pPr>
            <w:r>
              <w:t xml:space="preserve">Oscilloscope</w:t>
            </w:r>
          </w:p>
        </w:tc>
        <w:tc>
          <w:tcPr/>
          <w:p>
            <w:pPr>
              <w:pStyle w:val="Compact"/>
              <w:jc w:val="left"/>
            </w:pPr>
            <w:r>
              <w:t xml:space="preserve">For waveform analysis</w:t>
            </w:r>
          </w:p>
        </w:tc>
        <w:tc>
          <w:tcPr/>
          <w:p>
            <w:pPr>
              <w:pStyle w:val="Compact"/>
              <w:jc w:val="left"/>
            </w:pPr>
            <w:r>
              <w:t xml:space="preserve">3</w:t>
            </w:r>
          </w:p>
        </w:tc>
      </w:tr>
      <w:tr>
        <w:tc>
          <w:tcPr/>
          <w:p>
            <w:pPr>
              <w:pStyle w:val="Compact"/>
              <w:jc w:val="left"/>
            </w:pPr>
            <w:r>
              <w:t xml:space="preserve">Data Logger</w:t>
            </w:r>
          </w:p>
        </w:tc>
        <w:tc>
          <w:tcPr/>
          <w:p>
            <w:pPr>
              <w:pStyle w:val="Compact"/>
              <w:jc w:val="left"/>
            </w:pPr>
            <w:r>
              <w:t xml:space="preserve">For continuous monitoring</w:t>
            </w:r>
          </w:p>
        </w:tc>
        <w:tc>
          <w:tcPr/>
          <w:p>
            <w:pPr>
              <w:pStyle w:val="Compact"/>
              <w:jc w:val="left"/>
            </w:pPr>
            <w:r>
              <w:t xml:space="preserve">10</w:t>
            </w:r>
          </w:p>
        </w:tc>
      </w:tr>
      <w:tr>
        <w:tc>
          <w:tcPr/>
          <w:p>
            <w:pPr>
              <w:pStyle w:val="Compact"/>
              <w:jc w:val="left"/>
            </w:pPr>
            <w:r>
              <w:t xml:space="preserve">Personal Protective Equipment (PPE)</w:t>
            </w:r>
          </w:p>
        </w:tc>
        <w:tc>
          <w:tcPr/>
          <w:p>
            <w:pPr>
              <w:pStyle w:val="Compact"/>
              <w:jc w:val="left"/>
            </w:pPr>
            <w:r>
              <w:t xml:space="preserve">Insulated gloves, helmets, etc.</w:t>
            </w:r>
          </w:p>
        </w:tc>
        <w:tc>
          <w:tcPr/>
          <w:p>
            <w:pPr>
              <w:pStyle w:val="Compact"/>
              <w:jc w:val="left"/>
            </w:pPr>
            <w:r>
              <w:t xml:space="preserve">As required</w:t>
            </w:r>
          </w:p>
        </w:tc>
      </w:tr>
    </w:tbl>
    <w:bookmarkEnd w:id="24"/>
    <w:bookmarkStart w:id="28" w:name="methodology"/>
    <w:p>
      <w:pPr>
        <w:pStyle w:val="Heading2"/>
      </w:pPr>
      <w:r>
        <w:t xml:space="preserve">5. Methodology</w:t>
      </w:r>
    </w:p>
    <w:bookmarkStart w:id="25" w:name="site-selection"/>
    <w:p>
      <w:pPr>
        <w:pStyle w:val="Heading3"/>
      </w:pPr>
      <w:r>
        <w:t xml:space="preserve">5.1 Site Selection</w:t>
      </w:r>
    </w:p>
    <w:p>
      <w:pPr>
        <w:pStyle w:val="FirstParagraph"/>
      </w:pPr>
      <w:r>
        <w:t xml:space="preserve">Substations located in central Beijing will be selected based on their proximity to high-load areas such as commercial districts and residential zones. Each site will undergo preliminary inspections to ensure suitability for testing.</w:t>
      </w:r>
    </w:p>
    <w:bookmarkEnd w:id="25"/>
    <w:bookmarkStart w:id="26" w:name="data-collection"/>
    <w:p>
      <w:pPr>
        <w:pStyle w:val="Heading3"/>
      </w:pPr>
      <w:r>
        <w:t xml:space="preserve">5.2 Data Collection</w:t>
      </w:r>
    </w:p>
    <w:p>
      <w:pPr>
        <w:pStyle w:val="FirstParagraph"/>
      </w:pPr>
      <w:r>
        <w:t xml:space="preserve">Data will be collected using power quality analyzers and data loggers installed at each substation. Measurements will include:</w:t>
      </w:r>
    </w:p>
    <w:p>
      <w:pPr>
        <w:numPr>
          <w:ilvl w:val="0"/>
          <w:numId w:val="1003"/>
        </w:numPr>
        <w:pStyle w:val="Compact"/>
      </w:pPr>
      <w:r>
        <w:t xml:space="preserve">Voltage levels (phase-to-phase and phase-to-neutral).</w:t>
      </w:r>
    </w:p>
    <w:p>
      <w:pPr>
        <w:numPr>
          <w:ilvl w:val="0"/>
          <w:numId w:val="1003"/>
        </w:numPr>
        <w:pStyle w:val="Compact"/>
      </w:pPr>
      <w:r>
        <w:t xml:space="preserve">Frequency stability.</w:t>
      </w:r>
    </w:p>
    <w:p>
      <w:pPr>
        <w:numPr>
          <w:ilvl w:val="0"/>
          <w:numId w:val="1003"/>
        </w:numPr>
        <w:pStyle w:val="Compact"/>
      </w:pPr>
      <w:r>
        <w:t xml:space="preserve">Harmonic distortion levels.</w:t>
      </w:r>
    </w:p>
    <w:p>
      <w:pPr>
        <w:numPr>
          <w:ilvl w:val="0"/>
          <w:numId w:val="1003"/>
        </w:numPr>
        <w:pStyle w:val="Compact"/>
      </w:pPr>
      <w:r>
        <w:t xml:space="preserve">Load variations over time.</w:t>
      </w:r>
    </w:p>
    <w:bookmarkEnd w:id="26"/>
    <w:bookmarkStart w:id="27" w:name="testing-procedures"/>
    <w:p>
      <w:pPr>
        <w:pStyle w:val="Heading3"/>
      </w:pPr>
      <w:r>
        <w:t xml:space="preserve">5.3 Testing Procedures</w:t>
      </w:r>
    </w:p>
    <w:p>
      <w:pPr>
        <w:pStyle w:val="FirstParagraph"/>
      </w:pPr>
      <w:r>
        <w:t xml:space="preserve">Testing will be conducted in phases:</w:t>
      </w:r>
    </w:p>
    <w:p>
      <w:pPr>
        <w:numPr>
          <w:ilvl w:val="0"/>
          <w:numId w:val="1004"/>
        </w:numPr>
        <w:pStyle w:val="Compact"/>
      </w:pPr>
      <w:r>
        <w:rPr>
          <w:bCs/>
          <w:b/>
        </w:rPr>
        <w:t xml:space="preserve">Phase 1:</w:t>
      </w:r>
      <w:r>
        <w:t xml:space="preserve"> </w:t>
      </w:r>
      <w:r>
        <w:t xml:space="preserve">Baseline measurements under normal operating conditions.</w:t>
      </w:r>
    </w:p>
    <w:p>
      <w:pPr>
        <w:numPr>
          <w:ilvl w:val="0"/>
          <w:numId w:val="1004"/>
        </w:numPr>
        <w:pStyle w:val="Compact"/>
      </w:pPr>
      <w:r>
        <w:rPr>
          <w:bCs/>
          <w:b/>
        </w:rPr>
        <w:t xml:space="preserve">Phase 2:</w:t>
      </w:r>
      <w:r>
        <w:t xml:space="preserve"> </w:t>
      </w:r>
      <w:r>
        <w:t xml:space="preserve">Simulated load increases to mimic peak demand scenarios.</w:t>
      </w:r>
    </w:p>
    <w:p>
      <w:pPr>
        <w:numPr>
          <w:ilvl w:val="0"/>
          <w:numId w:val="1004"/>
        </w:numPr>
        <w:pStyle w:val="Compact"/>
      </w:pPr>
      <w:r>
        <w:rPr>
          <w:bCs/>
          <w:b/>
        </w:rPr>
        <w:t xml:space="preserve">Phase 3:</w:t>
      </w:r>
      <w:r>
        <w:t xml:space="preserve"> </w:t>
      </w:r>
      <w:r>
        <w:t xml:space="preserve">Evaluation of system response to sudden load changes.</w:t>
      </w:r>
    </w:p>
    <w:bookmarkEnd w:id="27"/>
    <w:bookmarkEnd w:id="28"/>
    <w:bookmarkStart w:id="29" w:name="safety-considerations"/>
    <w:p>
      <w:pPr>
        <w:pStyle w:val="Heading2"/>
      </w:pPr>
      <w:r>
        <w:t xml:space="preserve">6. Safety Considerations</w:t>
      </w:r>
    </w:p>
    <w:p>
      <w:pPr>
        <w:pStyle w:val="FirstParagraph"/>
      </w:pPr>
      <w:r>
        <w:t xml:space="preserve">Safety is paramount in any electrical engineering experiment. All personnel must adhere to the following guidelines:</w:t>
      </w:r>
    </w:p>
    <w:p>
      <w:pPr>
        <w:numPr>
          <w:ilvl w:val="0"/>
          <w:numId w:val="1005"/>
        </w:numPr>
        <w:pStyle w:val="Compact"/>
      </w:pPr>
      <w:r>
        <w:t xml:space="preserve">Wear appropriate PPE at all times.</w:t>
      </w:r>
    </w:p>
    <w:p>
      <w:pPr>
        <w:numPr>
          <w:ilvl w:val="0"/>
          <w:numId w:val="1005"/>
        </w:numPr>
        <w:pStyle w:val="Compact"/>
      </w:pPr>
      <w:r>
        <w:t xml:space="preserve">Ensure proper grounding of all equipment.</w:t>
      </w:r>
    </w:p>
    <w:p>
      <w:pPr>
        <w:numPr>
          <w:ilvl w:val="0"/>
          <w:numId w:val="1005"/>
        </w:numPr>
        <w:pStyle w:val="Compact"/>
      </w:pPr>
      <w:r>
        <w:t xml:space="preserve">Follow lockout/tagout procedures when working on live circuits.</w:t>
      </w:r>
    </w:p>
    <w:p>
      <w:pPr>
        <w:numPr>
          <w:ilvl w:val="0"/>
          <w:numId w:val="1005"/>
        </w:numPr>
        <w:pStyle w:val="Compact"/>
      </w:pPr>
      <w:r>
        <w:t xml:space="preserve">Conduct regular safety briefings and drills.</w:t>
      </w:r>
    </w:p>
    <w:p>
      <w:pPr>
        <w:pStyle w:val="FirstParagraph"/>
      </w:pPr>
      <w:r>
        <w:t xml:space="preserve">In addition, all activities must comply with the safety regulations set forth by the State Grid Corporation of China and other relevant authorities.</w:t>
      </w:r>
    </w:p>
    <w:bookmarkEnd w:id="29"/>
    <w:bookmarkStart w:id="30" w:name="data-analysis"/>
    <w:p>
      <w:pPr>
        <w:pStyle w:val="Heading2"/>
      </w:pPr>
      <w:r>
        <w:t xml:space="preserve">7. Data Analysis</w:t>
      </w:r>
    </w:p>
    <w:p>
      <w:pPr>
        <w:pStyle w:val="FirstParagraph"/>
      </w:pPr>
      <w:r>
        <w:t xml:space="preserve">Collected data will be analyzed using specialized software tools to identify trends, anomalies, and areas of concern. Key metrics will be compared against established benchmarks to determine the overall health of the electrical grid.</w:t>
      </w:r>
    </w:p>
    <w:bookmarkEnd w:id="30"/>
    <w:bookmarkStart w:id="31" w:name="reporting"/>
    <w:p>
      <w:pPr>
        <w:pStyle w:val="Heading2"/>
      </w:pPr>
      <w:r>
        <w:t xml:space="preserve">8. Reporting</w:t>
      </w:r>
    </w:p>
    <w:p>
      <w:pPr>
        <w:pStyle w:val="FirstParagraph"/>
      </w:pPr>
      <w:r>
        <w:t xml:space="preserve">A detailed report will be prepared upon completion of the experiment, summarizing findings, recommendations, and any necessary corrective actions. The report will be submitted to relevant stakeholders, including the State Grid Corporation of China and local regulatory bodies.</w:t>
      </w:r>
    </w:p>
    <w:bookmarkEnd w:id="31"/>
    <w:bookmarkStart w:id="32" w:name="conclusion"/>
    <w:p>
      <w:pPr>
        <w:pStyle w:val="Heading2"/>
      </w:pPr>
      <w:r>
        <w:t xml:space="preserve">9. Conclusion</w:t>
      </w:r>
    </w:p>
    <w:p>
      <w:pPr>
        <w:pStyle w:val="FirstParagraph"/>
      </w:pPr>
      <w:r>
        <w:t xml:space="preserve">This Experiment Protocol provides a structured approach to evaluating the stability of the high-voltage grid in Beijing, China. By adhering to these guidelines, the Electrical Engineer and their team can ensure accurate results while maintaining the highest standards of safety and professionalism.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High-Voltage Grid Stability Analysis</dc:title>
  <dc:creator/>
  <dc:language>en</dc:language>
  <cp:keywords/>
  <dcterms:created xsi:type="dcterms:W3CDTF">2026-10-10T01:02:42Z</dcterms:created>
  <dcterms:modified xsi:type="dcterms:W3CDTF">2026-10-10T01:02:42Z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