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Power</w:t>
      </w:r>
      <w:r>
        <w:t xml:space="preserve"> </w:t>
      </w:r>
      <w:r>
        <w:t xml:space="preserve">Grid</w:t>
      </w:r>
      <w:r>
        <w:t xml:space="preserve"> </w:t>
      </w:r>
      <w:r>
        <w:t xml:space="preserve">Stability</w:t>
      </w:r>
      <w:r>
        <w:t xml:space="preserve"> </w:t>
      </w:r>
      <w:r>
        <w:t xml:space="preserve">Analysis</w:t>
      </w:r>
    </w:p>
    <w:bookmarkStart w:id="20" w:name="X80f40af6c541311b28f988025309b69623cc807"/>
    <w:p>
      <w:pPr>
        <w:pStyle w:val="Heading1"/>
      </w:pPr>
      <w:r>
        <w:t xml:space="preserve">Experiment Protocol: High-Voltage Power Grid Stability Analysis</w:t>
      </w:r>
    </w:p>
    <w:p>
      <w:pPr>
        <w:pStyle w:val="FirstParagraph"/>
      </w:pPr>
      <w:r>
        <w:rPr>
          <w:bCs/>
          <w:b/>
        </w:rPr>
        <w:t xml:space="preserve">Location:</w:t>
      </w:r>
      <w:r>
        <w:t xml:space="preserve"> </w:t>
      </w:r>
      <w:r>
        <w:t xml:space="preserve">China Guangzhou, Guangdong Province</w:t>
      </w:r>
    </w:p>
    <w:p>
      <w:pPr>
        <w:pStyle w:val="BodyText"/>
      </w:pPr>
      <w:r>
        <w:rPr>
          <w:bCs/>
          <w:b/>
        </w:rPr>
        <w:t xml:space="preserve">Role:</w:t>
      </w:r>
      <w:r>
        <w:t xml:space="preserve"> </w:t>
      </w:r>
      <w:r>
        <w:t xml:space="preserve">Electrical Engineer</w:t>
      </w:r>
    </w:p>
    <w:p>
      <w:pPr>
        <w:pStyle w:val="BodyText"/>
      </w:pPr>
      <w:r>
        <w:rPr>
          <w:bCs/>
          <w:b/>
        </w:rPr>
        <w:t xml:space="preserve">Document ID:</w:t>
      </w:r>
      <w:r>
        <w:t xml:space="preserve"> </w:t>
      </w:r>
      <w:r>
        <w:t xml:space="preserve">EP-GZ-2023-HV-001</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Execution</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conducting a comprehensive stability analysis of the high-voltage power grid infrastructure in China Guangzhou. The primary objective is to evaluate the resilience of the local electrical network against transient faults and load fluctuations, ensuring compliance with national standards set by the State Grid Corporation of China. As an Electrical Engineer, the responsibility is to design, execute, and analyze this experiment to enhance the reliability of power distribution in one of China's most dynamic economic hubs.</w:t>
      </w:r>
    </w:p>
    <w:p>
      <w:pPr>
        <w:pStyle w:val="BodyText"/>
      </w:pPr>
      <w:r>
        <w:t xml:space="preserve">Guangzhou's rapid urbanization and industrial growth necessitate rigorous testing of its electrical systems. This protocol aims to identify potential vulnerabilities and propose mitigation strategies to prevent blackouts and ensure continuous power supply to residential, commercial, and industrial sectors.</w:t>
      </w:r>
    </w:p>
    <w:bookmarkEnd w:id="21"/>
    <w:bookmarkStart w:id="22" w:name="scope-and-applicability"/>
    <w:p>
      <w:pPr>
        <w:pStyle w:val="Heading2"/>
      </w:pPr>
      <w:r>
        <w:t xml:space="preserve">2. Scope and Applicability</w:t>
      </w:r>
    </w:p>
    <w:p>
      <w:pPr>
        <w:pStyle w:val="FirstParagraph"/>
      </w:pPr>
      <w:r>
        <w:t xml:space="preserve">This protocol applies to all Electrical Engineers and technical staff involved in the testing of the 220kV and 500kV transmission lines within the Guangzhou metropolitan area. It covers the setup, execution, data collection, and analysis phases of the experiment. The scope includes:</w:t>
      </w:r>
    </w:p>
    <w:p>
      <w:pPr>
        <w:numPr>
          <w:ilvl w:val="0"/>
          <w:numId w:val="1001"/>
        </w:numPr>
        <w:pStyle w:val="Compact"/>
      </w:pPr>
      <w:r>
        <w:t xml:space="preserve">Transient stability testing under simulated fault conditions.</w:t>
      </w:r>
    </w:p>
    <w:p>
      <w:pPr>
        <w:numPr>
          <w:ilvl w:val="0"/>
          <w:numId w:val="1001"/>
        </w:numPr>
        <w:pStyle w:val="Compact"/>
      </w:pPr>
      <w:r>
        <w:t xml:space="preserve">Load flow analysis during peak demand periods.</w:t>
      </w:r>
    </w:p>
    <w:p>
      <w:pPr>
        <w:numPr>
          <w:ilvl w:val="0"/>
          <w:numId w:val="1001"/>
        </w:numPr>
        <w:pStyle w:val="Compact"/>
      </w:pPr>
      <w:r>
        <w:t xml:space="preserve">Verification of protective relay settings and coordination.</w:t>
      </w:r>
    </w:p>
    <w:p>
      <w:pPr>
        <w:numPr>
          <w:ilvl w:val="0"/>
          <w:numId w:val="1001"/>
        </w:numPr>
        <w:pStyle w:val="Compact"/>
      </w:pPr>
      <w:r>
        <w:t xml:space="preserve">Assessment of grid integration with renewable energy sources.</w:t>
      </w:r>
    </w:p>
    <w:bookmarkEnd w:id="22"/>
    <w:bookmarkStart w:id="23" w:name="safety-precautions"/>
    <w:p>
      <w:pPr>
        <w:pStyle w:val="Heading2"/>
      </w:pPr>
      <w:r>
        <w:t xml:space="preserve">3. Safety Precautions</w:t>
      </w:r>
    </w:p>
    <w:p>
      <w:pPr>
        <w:pStyle w:val="FirstParagraph"/>
      </w:pPr>
      <w:r>
        <w:t xml:space="preserve">Safety is paramount. All personnel must adhere to the following guidelines:</w:t>
      </w:r>
    </w:p>
    <w:p>
      <w:pPr>
        <w:numPr>
          <w:ilvl w:val="0"/>
          <w:numId w:val="1002"/>
        </w:numPr>
        <w:pStyle w:val="Compact"/>
      </w:pPr>
      <w:r>
        <w:t xml:space="preserve">Wear appropriate personal protective equipment (PPE), including insulated gloves, helmets, and arc-flash suits.</w:t>
      </w:r>
    </w:p>
    <w:p>
      <w:pPr>
        <w:numPr>
          <w:ilvl w:val="0"/>
          <w:numId w:val="1002"/>
        </w:numPr>
        <w:pStyle w:val="Compact"/>
      </w:pPr>
      <w:r>
        <w:t xml:space="preserve">Ensure all equipment is properly grounded and de-energized before maintenance or setup.</w:t>
      </w:r>
    </w:p>
    <w:p>
      <w:pPr>
        <w:numPr>
          <w:ilvl w:val="0"/>
          <w:numId w:val="1002"/>
        </w:numPr>
        <w:pStyle w:val="Compact"/>
      </w:pPr>
      <w:r>
        <w:t xml:space="preserve">Follow the lockout/tagout (LOTO) procedures strictly.</w:t>
      </w:r>
    </w:p>
    <w:p>
      <w:pPr>
        <w:numPr>
          <w:ilvl w:val="0"/>
          <w:numId w:val="1002"/>
        </w:numPr>
        <w:pStyle w:val="Compact"/>
      </w:pPr>
      <w:r>
        <w:t xml:space="preserve">Conduct a pre-experiment safety briefing and emergency response drill.</w:t>
      </w:r>
    </w:p>
    <w:p>
      <w:pPr>
        <w:numPr>
          <w:ilvl w:val="0"/>
          <w:numId w:val="1002"/>
        </w:numPr>
        <w:pStyle w:val="Compact"/>
      </w:pPr>
      <w:r>
        <w:t xml:space="preserve">Comply with local regulations and standards, including GB/T 14285-2006 for relay protection.</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Power Quality Analyzer</w:t>
            </w:r>
          </w:p>
        </w:tc>
        <w:tc>
          <w:tcPr/>
          <w:p>
            <w:pPr>
              <w:pStyle w:val="Compact"/>
              <w:jc w:val="left"/>
            </w:pPr>
            <w:r>
              <w:t xml:space="preserve">Fluke 435-II Series II</w:t>
            </w:r>
          </w:p>
        </w:tc>
        <w:tc>
          <w:tcPr/>
          <w:p>
            <w:pPr>
              <w:pStyle w:val="Compact"/>
              <w:jc w:val="left"/>
            </w:pPr>
            <w:r>
              <w:t xml:space="preserve">2</w:t>
            </w:r>
          </w:p>
        </w:tc>
      </w:tr>
      <w:tr>
        <w:tc>
          <w:tcPr/>
          <w:p>
            <w:pPr>
              <w:pStyle w:val="Compact"/>
              <w:jc w:val="left"/>
            </w:pPr>
            <w:r>
              <w:t xml:space="preserve">High-Voltage Test Set</w:t>
            </w:r>
          </w:p>
        </w:tc>
        <w:tc>
          <w:tcPr/>
          <w:p>
            <w:pPr>
              <w:pStyle w:val="Compact"/>
              <w:jc w:val="left"/>
            </w:pPr>
            <w:r>
              <w:t xml:space="preserve">Omron HVA-2000</w:t>
            </w:r>
          </w:p>
        </w:tc>
        <w:tc>
          <w:tcPr/>
          <w:p>
            <w:pPr>
              <w:pStyle w:val="Compact"/>
              <w:jc w:val="left"/>
            </w:pPr>
            <w:r>
              <w:t xml:space="preserve">1</w:t>
            </w:r>
          </w:p>
        </w:tc>
      </w:tr>
      <w:tr>
        <w:tc>
          <w:tcPr/>
          <w:p>
            <w:pPr>
              <w:pStyle w:val="Compact"/>
              <w:jc w:val="left"/>
            </w:pPr>
            <w:r>
              <w:t xml:space="preserve">Protective Relay Tester</w:t>
            </w:r>
          </w:p>
        </w:tc>
        <w:tc>
          <w:tcPr/>
          <w:p>
            <w:pPr>
              <w:pStyle w:val="Compact"/>
              <w:jc w:val="left"/>
            </w:pPr>
            <w:r>
              <w:t xml:space="preserve">OMICRON CMC 356</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National Instruments PXIe-1082</w:t>
            </w:r>
          </w:p>
        </w:tc>
        <w:tc>
          <w:tcPr/>
          <w:p>
            <w:pPr>
              <w:pStyle w:val="Compact"/>
              <w:jc w:val="left"/>
            </w:pPr>
            <w:r>
              <w:t xml:space="preserve">1</w:t>
            </w:r>
          </w:p>
        </w:tc>
      </w:tr>
      <w:tr>
        <w:tc>
          <w:tcPr/>
          <w:p>
            <w:pPr>
              <w:pStyle w:val="Compact"/>
              <w:jc w:val="left"/>
            </w:pPr>
            <w:r>
              <w:t xml:space="preserve">Personal Protective Equipment</w:t>
            </w:r>
          </w:p>
        </w:tc>
        <w:tc>
          <w:tcPr/>
          <w:p>
            <w:pPr>
              <w:pStyle w:val="Compact"/>
              <w:jc w:val="left"/>
            </w:pPr>
            <w:r>
              <w:t xml:space="preserve">Class 00 Insulated Gloves, Arc-Flash Suit</w:t>
            </w:r>
          </w:p>
        </w:tc>
        <w:tc>
          <w:tcPr/>
          <w:p>
            <w:pPr>
              <w:pStyle w:val="Compact"/>
              <w:jc w:val="left"/>
            </w:pPr>
            <w:r>
              <w:t xml:space="preserve">As Required</w:t>
            </w:r>
          </w:p>
        </w:tc>
      </w:tr>
    </w:tbl>
    <w:bookmarkEnd w:id="24"/>
    <w:bookmarkStart w:id="28" w:name="experimental-procedure"/>
    <w:p>
      <w:pPr>
        <w:pStyle w:val="Heading2"/>
      </w:pPr>
      <w:r>
        <w:t xml:space="preserve">5. Experimental Procedure</w:t>
      </w:r>
    </w:p>
    <w:bookmarkStart w:id="25" w:name="pre-experiment-setup"/>
    <w:p>
      <w:pPr>
        <w:pStyle w:val="Heading3"/>
      </w:pPr>
      <w:r>
        <w:t xml:space="preserve">5.1 Pre-Experiment Setup</w:t>
      </w:r>
    </w:p>
    <w:p>
      <w:pPr>
        <w:numPr>
          <w:ilvl w:val="0"/>
          <w:numId w:val="1003"/>
        </w:numPr>
        <w:pStyle w:val="Compact"/>
      </w:pPr>
      <w:r>
        <w:t xml:space="preserve">Inspect all equipment for calibration and functionality.</w:t>
      </w:r>
    </w:p>
    <w:p>
      <w:pPr>
        <w:numPr>
          <w:ilvl w:val="0"/>
          <w:numId w:val="1003"/>
        </w:numPr>
        <w:pStyle w:val="Compact"/>
      </w:pPr>
      <w:r>
        <w:t xml:space="preserve">Establish communication with the Guangzhou Power Dispatch Center to coordinate testing schedules.</w:t>
      </w:r>
    </w:p>
    <w:p>
      <w:pPr>
        <w:numPr>
          <w:ilvl w:val="0"/>
          <w:numId w:val="1003"/>
        </w:numPr>
        <w:pStyle w:val="Compact"/>
      </w:pPr>
      <w:r>
        <w:t xml:space="preserve">Set up data acquisition systems at key substations, including Tianhe and Haizhu districts.</w:t>
      </w:r>
    </w:p>
    <w:p>
      <w:pPr>
        <w:numPr>
          <w:ilvl w:val="0"/>
          <w:numId w:val="1003"/>
        </w:numPr>
        <w:pStyle w:val="Compact"/>
      </w:pPr>
      <w:r>
        <w:t xml:space="preserve">Verify the integrity of grounding systems and safety barriers.</w:t>
      </w:r>
    </w:p>
    <w:bookmarkEnd w:id="25"/>
    <w:bookmarkStart w:id="26" w:name="execution-steps"/>
    <w:p>
      <w:pPr>
        <w:pStyle w:val="Heading3"/>
      </w:pPr>
      <w:r>
        <w:t xml:space="preserve">5.2 Execution Steps</w:t>
      </w:r>
    </w:p>
    <w:p>
      <w:pPr>
        <w:numPr>
          <w:ilvl w:val="0"/>
          <w:numId w:val="1004"/>
        </w:numPr>
        <w:pStyle w:val="Compact"/>
      </w:pPr>
      <w:r>
        <w:rPr>
          <w:bCs/>
          <w:b/>
        </w:rPr>
        <w:t xml:space="preserve">Baseline Measurement:</w:t>
      </w:r>
      <w:r>
        <w:t xml:space="preserve"> </w:t>
      </w:r>
      <w:r>
        <w:t xml:space="preserve">Record normal operating conditions, including voltage, current, frequency, and power factor.</w:t>
      </w:r>
    </w:p>
    <w:p>
      <w:pPr>
        <w:numPr>
          <w:ilvl w:val="0"/>
          <w:numId w:val="1004"/>
        </w:numPr>
        <w:pStyle w:val="Compact"/>
      </w:pPr>
      <w:r>
        <w:rPr>
          <w:bCs/>
          <w:b/>
        </w:rPr>
        <w:t xml:space="preserve">Fault Simulation:</w:t>
      </w:r>
      <w:r>
        <w:t xml:space="preserve"> </w:t>
      </w:r>
      <w:r>
        <w:t xml:space="preserve">Introduce controlled transient faults (e.g., single-line-to-ground, line-to-line) using the high-voltage test set.</w:t>
      </w:r>
    </w:p>
    <w:p>
      <w:pPr>
        <w:numPr>
          <w:ilvl w:val="0"/>
          <w:numId w:val="1004"/>
        </w:numPr>
        <w:pStyle w:val="Compact"/>
      </w:pPr>
      <w:r>
        <w:rPr>
          <w:bCs/>
          <w:b/>
        </w:rPr>
        <w:t xml:space="preserve">Relay Testing:</w:t>
      </w:r>
      <w:r>
        <w:t xml:space="preserve"> </w:t>
      </w:r>
      <w:r>
        <w:t xml:space="preserve">Verify the response time and accuracy of protective relays during fault conditions.</w:t>
      </w:r>
    </w:p>
    <w:p>
      <w:pPr>
        <w:numPr>
          <w:ilvl w:val="0"/>
          <w:numId w:val="1004"/>
        </w:numPr>
        <w:pStyle w:val="Compact"/>
      </w:pPr>
      <w:r>
        <w:rPr>
          <w:bCs/>
          <w:b/>
        </w:rPr>
        <w:t xml:space="preserve">Load Variation:</w:t>
      </w:r>
      <w:r>
        <w:t xml:space="preserve"> </w:t>
      </w:r>
      <w:r>
        <w:t xml:space="preserve">Simulate peak load scenarios by adjusting load banks and monitoring grid stability.</w:t>
      </w:r>
    </w:p>
    <w:p>
      <w:pPr>
        <w:numPr>
          <w:ilvl w:val="0"/>
          <w:numId w:val="1004"/>
        </w:numPr>
        <w:pStyle w:val="Compact"/>
      </w:pPr>
      <w:r>
        <w:rPr>
          <w:bCs/>
          <w:b/>
        </w:rPr>
        <w:t xml:space="preserve">Renewable Integration:</w:t>
      </w:r>
      <w:r>
        <w:t xml:space="preserve"> </w:t>
      </w:r>
      <w:r>
        <w:t xml:space="preserve">Assess the impact of solar and wind energy fluctuations on grid stability.</w:t>
      </w:r>
    </w:p>
    <w:bookmarkEnd w:id="26"/>
    <w:bookmarkStart w:id="27" w:name="data-collection"/>
    <w:p>
      <w:pPr>
        <w:pStyle w:val="Heading3"/>
      </w:pPr>
      <w:r>
        <w:t xml:space="preserve">5.3 Data Collection</w:t>
      </w:r>
    </w:p>
    <w:p>
      <w:pPr>
        <w:pStyle w:val="FirstParagraph"/>
      </w:pPr>
      <w:r>
        <w:t xml:space="preserve">Continuous data logging is essential. Ensure the following parameters are recorded at a minimum sampling rate of 1 kHz:</w:t>
      </w:r>
    </w:p>
    <w:p>
      <w:pPr>
        <w:numPr>
          <w:ilvl w:val="0"/>
          <w:numId w:val="1005"/>
        </w:numPr>
        <w:pStyle w:val="Compact"/>
      </w:pPr>
      <w:r>
        <w:t xml:space="preserve">Voltage and current waveforms.</w:t>
      </w:r>
    </w:p>
    <w:p>
      <w:pPr>
        <w:numPr>
          <w:ilvl w:val="0"/>
          <w:numId w:val="1005"/>
        </w:numPr>
        <w:pStyle w:val="Compact"/>
      </w:pPr>
      <w:r>
        <w:t xml:space="preserve">Frequency deviations.</w:t>
      </w:r>
    </w:p>
    <w:p>
      <w:pPr>
        <w:numPr>
          <w:ilvl w:val="0"/>
          <w:numId w:val="1005"/>
        </w:numPr>
        <w:pStyle w:val="Compact"/>
      </w:pPr>
      <w:r>
        <w:t xml:space="preserve">Harmonic distortion levels.</w:t>
      </w:r>
    </w:p>
    <w:p>
      <w:pPr>
        <w:numPr>
          <w:ilvl w:val="0"/>
          <w:numId w:val="1005"/>
        </w:numPr>
        <w:pStyle w:val="Compact"/>
      </w:pPr>
      <w:r>
        <w:t xml:space="preserve">Relay operation logs.</w:t>
      </w:r>
    </w:p>
    <w:bookmarkEnd w:id="27"/>
    <w:bookmarkEnd w:id="28"/>
    <w:bookmarkStart w:id="29" w:name="data-analysis-and-reporting"/>
    <w:p>
      <w:pPr>
        <w:pStyle w:val="Heading2"/>
      </w:pPr>
      <w:r>
        <w:t xml:space="preserve">6. Data Analysis and Reporting</w:t>
      </w:r>
    </w:p>
    <w:p>
      <w:pPr>
        <w:pStyle w:val="FirstParagraph"/>
      </w:pPr>
      <w:r>
        <w:t xml:space="preserve">Post-experiment, the Electrical Engineer must analyze the collected data to:</w:t>
      </w:r>
    </w:p>
    <w:p>
      <w:pPr>
        <w:numPr>
          <w:ilvl w:val="0"/>
          <w:numId w:val="1006"/>
        </w:numPr>
        <w:pStyle w:val="Compact"/>
      </w:pPr>
      <w:r>
        <w:t xml:space="preserve">Identify any deviations from expected performance.</w:t>
      </w:r>
    </w:p>
    <w:p>
      <w:pPr>
        <w:numPr>
          <w:ilvl w:val="0"/>
          <w:numId w:val="1006"/>
        </w:numPr>
        <w:pStyle w:val="Compact"/>
      </w:pPr>
      <w:r>
        <w:t xml:space="preserve">Evaluate the effectiveness of protective measures.</w:t>
      </w:r>
    </w:p>
    <w:p>
      <w:pPr>
        <w:numPr>
          <w:ilvl w:val="0"/>
          <w:numId w:val="1006"/>
        </w:numPr>
        <w:pStyle w:val="Compact"/>
      </w:pPr>
      <w:r>
        <w:t xml:space="preserve">Assess the grid's ability to handle renewable energy integration.</w:t>
      </w:r>
    </w:p>
    <w:p>
      <w:pPr>
        <w:numPr>
          <w:ilvl w:val="0"/>
          <w:numId w:val="1006"/>
        </w:numPr>
        <w:pStyle w:val="Compact"/>
      </w:pPr>
      <w:r>
        <w:t xml:space="preserve">Prepare a detailed report with findings, recommendations, and proposed improvements.</w:t>
      </w:r>
    </w:p>
    <w:p>
      <w:pPr>
        <w:pStyle w:val="FirstParagraph"/>
      </w:pPr>
      <w:r>
        <w:t xml:space="preserve">The report should be submitted to the Guangzhou Power Grid Management Office within 14 days of experiment completion.</w:t>
      </w:r>
    </w:p>
    <w:bookmarkEnd w:id="29"/>
    <w:bookmarkStart w:id="30" w:name="conclusion"/>
    <w:p>
      <w:pPr>
        <w:pStyle w:val="Heading2"/>
      </w:pPr>
      <w:r>
        <w:t xml:space="preserve">7. Conclusion</w:t>
      </w:r>
    </w:p>
    <w:p>
      <w:pPr>
        <w:pStyle w:val="FirstParagraph"/>
      </w:pPr>
      <w:r>
        <w:t xml:space="preserve">This Experiment Protocol provides a structured approach for Electrical Engineers to conduct critical stability tests on the power grid in China Guangzhou. By adhering to this protocol, we ensure the safety, reliability, and efficiency of the electrical infrastructure, supporting the city's ongoing development and sustainability goals.</w:t>
      </w:r>
    </w:p>
    <w:p>
      <w:pPr>
        <w:pStyle w:val="BodyText"/>
      </w:pPr>
      <w:r>
        <w:t xml:space="preserve">Document prepared by: [Electrical Engineer Name]</w:t>
      </w:r>
    </w:p>
    <w:p>
      <w:pPr>
        <w:pStyle w:val="BodyText"/>
      </w:pPr>
      <w:r>
        <w:t xml:space="preserve">Approved by: [Supervisor Name]</w:t>
      </w:r>
    </w:p>
    <w:p>
      <w:pPr>
        <w:pStyle w:val="BodyText"/>
      </w:pPr>
      <w:r>
        <w:t xml:space="preserve">Organization: Guangzhou Power Grid Research Institute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Power Grid Stability Analysis</dc:title>
  <dc:creator/>
  <dc:language>en</dc:language>
  <cp:keywords/>
  <dcterms:created xsi:type="dcterms:W3CDTF">2026-10-10T03:56:12Z</dcterms:created>
  <dcterms:modified xsi:type="dcterms:W3CDTF">2026-10-10T03:56:12Z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