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Power</w:t>
      </w:r>
      <w:r>
        <w:t xml:space="preserve"> </w:t>
      </w:r>
      <w:r>
        <w:t xml:space="preserve">Grid</w:t>
      </w:r>
      <w:r>
        <w:t xml:space="preserve"> </w:t>
      </w:r>
      <w:r>
        <w:t xml:space="preserve">Stability</w:t>
      </w:r>
      <w:r>
        <w:t xml:space="preserve"> </w:t>
      </w:r>
      <w:r>
        <w:t xml:space="preserve">Analysis</w:t>
      </w:r>
    </w:p>
    <w:p>
      <w:pPr>
        <w:pStyle w:val="FirstParagraph"/>
      </w:pPr>
      <w:r>
        <w:rPr>
          <w:bCs/>
          <w:b/>
        </w:rPr>
        <w:t xml:space="preserve">Document ID:</w:t>
      </w:r>
      <w:r>
        <w:t xml:space="preserve"> </w:t>
      </w:r>
      <w:r>
        <w:t xml:space="preserve">EP-SH-EE-2023-045</w:t>
      </w:r>
      <w:r>
        <w:br/>
      </w:r>
      <w:r>
        <w:rPr>
          <w:bCs/>
          <w:b/>
        </w:rPr>
        <w:t xml:space="preserve">Version:</w:t>
      </w:r>
      <w:r>
        <w:t xml:space="preserve"> </w:t>
      </w:r>
      <w:r>
        <w:t xml:space="preserve">1.2</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Shanghai, China</w:t>
      </w:r>
      <w:r>
        <w:br/>
      </w:r>
      <w:r>
        <w:rPr>
          <w:bCs/>
          <w:b/>
        </w:rPr>
        <w:t xml:space="preserve">Facility:</w:t>
      </w:r>
      <w:r>
        <w:t xml:space="preserve"> </w:t>
      </w:r>
      <w:r>
        <w:t xml:space="preserve">Pudong New Area Power Research Institute</w:t>
      </w:r>
      <w:r>
        <w:br/>
      </w:r>
      <w:r>
        <w:rPr>
          <w:bCs/>
          <w:b/>
        </w:rPr>
        <w:t xml:space="preserve">Classification:</w:t>
      </w:r>
      <w:r>
        <w:t xml:space="preserve"> </w:t>
      </w:r>
      <w:r>
        <w:t xml:space="preserve">Internal Use Only</w:t>
      </w:r>
    </w:p>
    <w:bookmarkStart w:id="32" w:name="X80f40af6c541311b28f988025309b69623cc807"/>
    <w:p>
      <w:pPr>
        <w:pStyle w:val="Heading1"/>
      </w:pPr>
      <w:r>
        <w:t xml:space="preserve">Experiment Protocol: High-Voltage Power Grid Stability Analysis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high-voltage power grid stability tests within the Shanghai municipal power network. As an Electrical Engineer operating in the dynamic environment of China Shanghai, adherence to this protocol is mandatory to ensure the reliability of the grid, particularly during peak load seasons and the integration of renewable energy sources. The primary objective is to evaluate the transient stability of the 500kV transmission lines connecting the Yangtze River Delta region to the Shanghai urban load centers.</w:t>
      </w:r>
    </w:p>
    <w:p>
      <w:pPr>
        <w:pStyle w:val="BodyText"/>
      </w:pPr>
      <w:r>
        <w:t xml:space="preserve">The Shanghai power grid is one of the most complex and heavily loaded in the world. Therefore, this protocol is designed to align with the rigorous standards set by the State Grid Corporation of China (SGCC) and the local Shanghai Municipal Electric Power Company. The experiment aims to simulate fault conditions to verify the performance of protective relays and automatic reclosing mechanisms, ensuring minimal disruption to the city's critical infrastructure.</w:t>
      </w:r>
    </w:p>
    <w:bookmarkEnd w:id="20"/>
    <w:bookmarkStart w:id="21" w:name="scope-and-applicability"/>
    <w:p>
      <w:pPr>
        <w:pStyle w:val="Heading2"/>
      </w:pPr>
      <w:r>
        <w:t xml:space="preserve">2. Scope and Applicability</w:t>
      </w:r>
    </w:p>
    <w:p>
      <w:pPr>
        <w:pStyle w:val="FirstParagraph"/>
      </w:pPr>
      <w:r>
        <w:t xml:space="preserve">This protocol applies to all Electrical Engineers, technicians, and supervisory personnel involved in the testing of high-voltage equipment at the designated substations in Shanghai. It covers the preparation, execution, data collection, and post-experiment analysis phases. The scope includes the testing of circuit breakers, surge arresters, and protective relay systems under simulated fault conditions.</w:t>
      </w:r>
    </w:p>
    <w:bookmarkEnd w:id="21"/>
    <w:bookmarkStart w:id="22" w:name="Xc1bf6019d7c7f546cd756b019a9b2d8bdab0c79"/>
    <w:p>
      <w:pPr>
        <w:pStyle w:val="Heading2"/>
      </w:pPr>
      <w:r>
        <w:t xml:space="preserve">3. Regulatory Compliance and Safety Standards</w:t>
      </w:r>
    </w:p>
    <w:p>
      <w:pPr>
        <w:pStyle w:val="FirstParagraph"/>
      </w:pPr>
      <w:r>
        <w:t xml:space="preserve">All activities must comply with the following regulations and standards:</w:t>
      </w:r>
    </w:p>
    <w:p>
      <w:pPr>
        <w:numPr>
          <w:ilvl w:val="0"/>
          <w:numId w:val="1001"/>
        </w:numPr>
        <w:pStyle w:val="Compact"/>
      </w:pPr>
      <w:r>
        <w:rPr>
          <w:bCs/>
          <w:b/>
        </w:rPr>
        <w:t xml:space="preserve">National Standards of China (GB):</w:t>
      </w:r>
      <w:r>
        <w:t xml:space="preserve"> </w:t>
      </w:r>
      <w:r>
        <w:t xml:space="preserve">Specifically GB/T 14285-2006 (Technical Regulations for Relay Protection and Security Automation) and GB 26860-2011 (Safety Work Rules for Electric Power Industry).</w:t>
      </w:r>
    </w:p>
    <w:p>
      <w:pPr>
        <w:numPr>
          <w:ilvl w:val="0"/>
          <w:numId w:val="1001"/>
        </w:numPr>
        <w:pStyle w:val="Compact"/>
      </w:pPr>
      <w:r>
        <w:rPr>
          <w:bCs/>
          <w:b/>
        </w:rPr>
        <w:t xml:space="preserve">State Grid Corporation of China (SGCC) Regulations:</w:t>
      </w:r>
      <w:r>
        <w:t xml:space="preserve"> </w:t>
      </w:r>
      <w:r>
        <w:t xml:space="preserve">Adherence to the "Safety Work Regulations for Electric Power Industry (Power Plant and Substation Electrical Part)."</w:t>
      </w:r>
    </w:p>
    <w:p>
      <w:pPr>
        <w:numPr>
          <w:ilvl w:val="0"/>
          <w:numId w:val="1001"/>
        </w:numPr>
        <w:pStyle w:val="Compact"/>
      </w:pPr>
      <w:r>
        <w:rPr>
          <w:bCs/>
          <w:b/>
        </w:rPr>
        <w:t xml:space="preserve">Local Shanghai Regulations:</w:t>
      </w:r>
      <w:r>
        <w:t xml:space="preserve"> </w:t>
      </w:r>
      <w:r>
        <w:t xml:space="preserve">Compliance with the Shanghai Municipal Administration of Housing and Urban-Rural Development guidelines for electrical safety in urban environments.</w:t>
      </w:r>
    </w:p>
    <w:p>
      <w:pPr>
        <w:pStyle w:val="FirstParagraph"/>
      </w:pPr>
      <w:r>
        <w:rPr>
          <w:bCs/>
          <w:b/>
        </w:rPr>
        <w:t xml:space="preserve">WARNING:</w:t>
      </w:r>
      <w:r>
        <w:t xml:space="preserve"> </w:t>
      </w:r>
      <w:r>
        <w:t xml:space="preserve">High-voltage experiments pose significant risks of electric shock, arc flash, and equipment damage. Only qualified Electrical Engineers with valid certification from the Shanghai Electric Power Administration may perform these tests. Strict adherence to lockout/tagout (LOTO) procedures is required.</w:t>
      </w:r>
    </w:p>
    <w:bookmarkEnd w:id="22"/>
    <w:bookmarkStart w:id="23" w:name="equipment-and-materials"/>
    <w:p>
      <w:pPr>
        <w:pStyle w:val="Heading2"/>
      </w:pPr>
      <w:r>
        <w:t xml:space="preserve">4. Equipment and Materials</w:t>
      </w:r>
    </w:p>
    <w:p>
      <w:pPr>
        <w:pStyle w:val="FirstParagraph"/>
      </w:pPr>
      <w:r>
        <w:t xml:space="preserve">The following equipment must be inspected and calibrated prior to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Test Set</w:t>
            </w:r>
          </w:p>
        </w:tc>
        <w:tc>
          <w:tcPr/>
          <w:p>
            <w:pPr>
              <w:pStyle w:val="Compact"/>
              <w:jc w:val="left"/>
            </w:pPr>
            <w:r>
              <w:t xml:space="preserve">0-500kV, 50Hz AC</w:t>
            </w:r>
          </w:p>
        </w:tc>
        <w:tc>
          <w:tcPr/>
          <w:p>
            <w:pPr>
              <w:pStyle w:val="Compact"/>
              <w:jc w:val="left"/>
            </w:pPr>
            <w:r>
              <w:t xml:space="preserve">1</w:t>
            </w:r>
          </w:p>
        </w:tc>
      </w:tr>
      <w:tr>
        <w:tc>
          <w:tcPr/>
          <w:p>
            <w:pPr>
              <w:pStyle w:val="Compact"/>
              <w:jc w:val="left"/>
            </w:pPr>
            <w:r>
              <w:t xml:space="preserve">Protective Relay Test Kit</w:t>
            </w:r>
          </w:p>
        </w:tc>
        <w:tc>
          <w:tcPr/>
          <w:p>
            <w:pPr>
              <w:pStyle w:val="Compact"/>
              <w:jc w:val="left"/>
            </w:pPr>
            <w:r>
              <w:t xml:space="preserve">Multi-function, IEC 61850 compliant</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5000V DC</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Class 00 Insulating Gloves, Arc Flash Suit, Safety Helmet</w:t>
            </w:r>
          </w:p>
        </w:tc>
        <w:tc>
          <w:tcPr/>
          <w:p>
            <w:pPr>
              <w:pStyle w:val="Compact"/>
              <w:jc w:val="left"/>
            </w:pPr>
            <w:r>
              <w:t xml:space="preserve">Per Person</w:t>
            </w:r>
          </w:p>
        </w:tc>
      </w:tr>
      <w:tr>
        <w:tc>
          <w:tcPr/>
          <w:p>
            <w:pPr>
              <w:pStyle w:val="Compact"/>
              <w:jc w:val="left"/>
            </w:pPr>
            <w:r>
              <w:t xml:space="preserve">Data Acquisition System</w:t>
            </w:r>
          </w:p>
        </w:tc>
        <w:tc>
          <w:tcPr/>
          <w:p>
            <w:pPr>
              <w:pStyle w:val="Compact"/>
              <w:jc w:val="left"/>
            </w:pPr>
            <w:r>
              <w:t xml:space="preserve">High-speed oscilloscope with grid synchronization</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experiment-preparation"/>
    <w:p>
      <w:pPr>
        <w:pStyle w:val="Heading3"/>
      </w:pPr>
      <w:r>
        <w:t xml:space="preserve">5.1 Pre-Experiment Preparation</w:t>
      </w:r>
    </w:p>
    <w:p>
      <w:pPr>
        <w:pStyle w:val="FirstParagraph"/>
      </w:pPr>
      <w:r>
        <w:t xml:space="preserve">Before initiating any tests, the Electrical Engineer must conduct a thorough site inspection at the Shanghai substation. This includes verifying the isolation of the test circuit from the live grid, ensuring all grounding switches are properly closed, and confirming that all personnel are briefed on the emergency response plan. A pre-job safety meeting (toolbox talk) must be held and documented.</w:t>
      </w:r>
    </w:p>
    <w:bookmarkEnd w:id="24"/>
    <w:bookmarkStart w:id="25" w:name="calibration-and-setup"/>
    <w:p>
      <w:pPr>
        <w:pStyle w:val="Heading3"/>
      </w:pPr>
      <w:r>
        <w:t xml:space="preserve">5.2 Calibration and Setup</w:t>
      </w:r>
    </w:p>
    <w:p>
      <w:pPr>
        <w:pStyle w:val="FirstParagraph"/>
      </w:pPr>
      <w:r>
        <w:t xml:space="preserve">Calibrate all testing equipment according to the manufacturer's instructions and SGCC standards. Connect the high-voltage test set to the designated test points on the transmission line equipment. Ensure that the data acquisition system is synchronized with the grid frequency (50Hz) to accurately capture transient events.</w:t>
      </w:r>
    </w:p>
    <w:bookmarkEnd w:id="25"/>
    <w:bookmarkStart w:id="26" w:name="execution-of-tests"/>
    <w:p>
      <w:pPr>
        <w:pStyle w:val="Heading3"/>
      </w:pPr>
      <w:r>
        <w:t xml:space="preserve">5.3 Execution of Tests</w:t>
      </w:r>
    </w:p>
    <w:p>
      <w:pPr>
        <w:pStyle w:val="FirstParagraph"/>
      </w:pPr>
      <w:r>
        <w:t xml:space="preserve">The experiment will proceed in three phases:</w:t>
      </w:r>
    </w:p>
    <w:p>
      <w:pPr>
        <w:numPr>
          <w:ilvl w:val="0"/>
          <w:numId w:val="1002"/>
        </w:numPr>
        <w:pStyle w:val="Compact"/>
      </w:pPr>
      <w:r>
        <w:rPr>
          <w:bCs/>
          <w:b/>
        </w:rPr>
        <w:t xml:space="preserve">Insulation Resistance Test:</w:t>
      </w:r>
      <w:r>
        <w:t xml:space="preserve"> </w:t>
      </w:r>
      <w:r>
        <w:t xml:space="preserve">Apply 5000V DC to measure the insulation resistance of the equipment. Record the values and compare them with the baseline data from previous tests.</w:t>
      </w:r>
    </w:p>
    <w:p>
      <w:pPr>
        <w:numPr>
          <w:ilvl w:val="0"/>
          <w:numId w:val="1002"/>
        </w:numPr>
        <w:pStyle w:val="Compact"/>
      </w:pPr>
      <w:r>
        <w:rPr>
          <w:bCs/>
          <w:b/>
        </w:rPr>
        <w:t xml:space="preserve">Protective Relay Simulation:</w:t>
      </w:r>
      <w:r>
        <w:t xml:space="preserve"> </w:t>
      </w:r>
      <w:r>
        <w:t xml:space="preserve">Inject simulated fault currents into the relay system to verify the correct operation of the protection schemes. This includes testing for phase-to-phase faults, ground faults, and overcurrent conditions.</w:t>
      </w:r>
    </w:p>
    <w:p>
      <w:pPr>
        <w:numPr>
          <w:ilvl w:val="0"/>
          <w:numId w:val="1002"/>
        </w:numPr>
        <w:pStyle w:val="Compact"/>
      </w:pPr>
      <w:r>
        <w:rPr>
          <w:bCs/>
          <w:b/>
        </w:rPr>
        <w:t xml:space="preserve">Transient Stability Test:</w:t>
      </w:r>
      <w:r>
        <w:t xml:space="preserve"> </w:t>
      </w:r>
      <w:r>
        <w:t xml:space="preserve">Gradually increase the voltage to the test level (up to 500kV) while monitoring the system's response. Simulate a short-circuit fault and observe the time it takes for the circuit breakers to trip and isolate the fault.</w:t>
      </w:r>
    </w:p>
    <w:bookmarkEnd w:id="26"/>
    <w:bookmarkStart w:id="27" w:name="data-collection-and-monitoring"/>
    <w:p>
      <w:pPr>
        <w:pStyle w:val="Heading3"/>
      </w:pPr>
      <w:r>
        <w:t xml:space="preserve">5.4 Data Collection and Monitoring</w:t>
      </w:r>
    </w:p>
    <w:p>
      <w:pPr>
        <w:pStyle w:val="FirstParagraph"/>
      </w:pPr>
      <w:r>
        <w:t xml:space="preserve">Throughout the experiment, the Electrical Engineer must continuously monitor all parameters, including voltage, current, frequency, and power factor. All data must be recorded in real-time using the data acquisition system. Any anomalies or deviations from expected values must be immediately documented and investigated.</w:t>
      </w:r>
    </w:p>
    <w:bookmarkEnd w:id="27"/>
    <w:bookmarkEnd w:id="28"/>
    <w:bookmarkStart w:id="29" w:name="post-experiment-procedures"/>
    <w:p>
      <w:pPr>
        <w:pStyle w:val="Heading2"/>
      </w:pPr>
      <w:r>
        <w:t xml:space="preserve">6. Post-Experiment Procedures</w:t>
      </w:r>
    </w:p>
    <w:p>
      <w:pPr>
        <w:pStyle w:val="FirstParagraph"/>
      </w:pPr>
      <w:r>
        <w:t xml:space="preserve">After completing the tests, the Electrical Engineer must safely discharge all stored energy in the equipment and disconnect the test set. Restore the substation to its normal operating configuration, ensuring all temporary grounding switches are removed. A post-experiment debriefing should be conducted to discuss any issues encountered and to review the initial findings.</w:t>
      </w:r>
    </w:p>
    <w:bookmarkEnd w:id="29"/>
    <w:bookmarkStart w:id="30" w:name="reporting-and-documentation"/>
    <w:p>
      <w:pPr>
        <w:pStyle w:val="Heading2"/>
      </w:pPr>
      <w:r>
        <w:t xml:space="preserve">7. Reporting and Documentation</w:t>
      </w:r>
    </w:p>
    <w:p>
      <w:pPr>
        <w:pStyle w:val="FirstParagraph"/>
      </w:pPr>
      <w:r>
        <w:t xml:space="preserve">A comprehensive report must be submitted to the Shanghai Municipal Electric Power Company within 48 hours of the experiment's completion. The report should include:</w:t>
      </w:r>
    </w:p>
    <w:p>
      <w:pPr>
        <w:numPr>
          <w:ilvl w:val="0"/>
          <w:numId w:val="1003"/>
        </w:numPr>
        <w:pStyle w:val="Compact"/>
      </w:pPr>
      <w:r>
        <w:t xml:space="preserve">Summary of the experimental objectives and procedures.</w:t>
      </w:r>
    </w:p>
    <w:p>
      <w:pPr>
        <w:numPr>
          <w:ilvl w:val="0"/>
          <w:numId w:val="1003"/>
        </w:numPr>
        <w:pStyle w:val="Compact"/>
      </w:pPr>
      <w:r>
        <w:t xml:space="preserve">Detailed data and analysis of the test results.</w:t>
      </w:r>
    </w:p>
    <w:p>
      <w:pPr>
        <w:numPr>
          <w:ilvl w:val="0"/>
          <w:numId w:val="1003"/>
        </w:numPr>
        <w:pStyle w:val="Compact"/>
      </w:pPr>
      <w:r>
        <w:t xml:space="preserve">Comparison of results with expected values and previous tests.</w:t>
      </w:r>
    </w:p>
    <w:p>
      <w:pPr>
        <w:numPr>
          <w:ilvl w:val="0"/>
          <w:numId w:val="1003"/>
        </w:numPr>
        <w:pStyle w:val="Compact"/>
      </w:pPr>
      <w:r>
        <w:t xml:space="preserve">Identification of any issues or recommendations for further action.</w:t>
      </w:r>
    </w:p>
    <w:p>
      <w:pPr>
        <w:numPr>
          <w:ilvl w:val="0"/>
          <w:numId w:val="1003"/>
        </w:numPr>
        <w:pStyle w:val="Compact"/>
      </w:pPr>
      <w:r>
        <w:t xml:space="preserve">Signatures of all participating Electrical Engineers and supervisors.</w:t>
      </w:r>
    </w:p>
    <w:bookmarkEnd w:id="30"/>
    <w:bookmarkStart w:id="31" w:name="emergency-response-plan"/>
    <w:p>
      <w:pPr>
        <w:pStyle w:val="Heading2"/>
      </w:pPr>
      <w:r>
        <w:t xml:space="preserve">8. Emergency Response Plan</w:t>
      </w:r>
    </w:p>
    <w:p>
      <w:pPr>
        <w:pStyle w:val="FirstParagraph"/>
      </w:pPr>
      <w:r>
        <w:t xml:space="preserve">In the event of an emergency, such as an electrical shock or equipment failure, the following steps must be taken:</w:t>
      </w:r>
    </w:p>
    <w:p>
      <w:pPr>
        <w:numPr>
          <w:ilvl w:val="0"/>
          <w:numId w:val="1004"/>
        </w:numPr>
        <w:pStyle w:val="Compact"/>
      </w:pPr>
      <w:r>
        <w:t xml:space="preserve">Immediately shut down the power supply to the test area.</w:t>
      </w:r>
    </w:p>
    <w:p>
      <w:pPr>
        <w:numPr>
          <w:ilvl w:val="0"/>
          <w:numId w:val="1004"/>
        </w:numPr>
        <w:pStyle w:val="Compact"/>
      </w:pPr>
      <w:r>
        <w:t xml:space="preserve">Administer first aid to any injured personnel and call for emergency medical services.</w:t>
      </w:r>
    </w:p>
    <w:p>
      <w:pPr>
        <w:numPr>
          <w:ilvl w:val="0"/>
          <w:numId w:val="1004"/>
        </w:numPr>
        <w:pStyle w:val="Compact"/>
      </w:pPr>
      <w:r>
        <w:t xml:space="preserve">Notify the substation supervisor and the Shanghai Emergency Response Center.</w:t>
      </w:r>
    </w:p>
    <w:p>
      <w:pPr>
        <w:numPr>
          <w:ilvl w:val="0"/>
          <w:numId w:val="1004"/>
        </w:numPr>
        <w:pStyle w:val="Compact"/>
      </w:pPr>
      <w:r>
        <w:t xml:space="preserve">Secure the area to prevent further accidents and preserve evidence for investigation.</w:t>
      </w:r>
    </w:p>
    <w:p>
      <w:pPr>
        <w:pStyle w:val="FirstParagraph"/>
      </w:pPr>
      <w:r>
        <w:t xml:space="preserve">This document is the property of the Shanghai Municipal Electric Power Company. Unauthorized reproduction or distribution is prohibited.</w:t>
      </w:r>
      <w:r>
        <w:br/>
      </w:r>
      <w:r>
        <w:t xml:space="preserve">For questions or clarifications, contact the Electrical Engineering Department at the Pudong New Area Power Research Institute.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Power Grid Stability Analysis</dc:title>
  <dc:creator/>
  <dc:language>en</dc:language>
  <cp:keywords/>
  <dcterms:created xsi:type="dcterms:W3CDTF">2026-10-10T01:47:41Z</dcterms:created>
  <dcterms:modified xsi:type="dcterms:W3CDTF">2026-10-10T01:47:41Z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