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36" w:name="Xb055dc637b84098a1fff17bf759fdd108f71835"/>
    <w:p>
      <w:pPr>
        <w:pStyle w:val="Heading1"/>
      </w:pPr>
      <w:r>
        <w:t xml:space="preserve">Experiment Protocol: Electrical Engineer - Colombia Medellín</w:t>
      </w:r>
    </w:p>
    <w:p>
      <w:pPr>
        <w:pStyle w:val="FirstParagraph"/>
      </w:pPr>
      <w:r>
        <w:rPr>
          <w:bCs/>
          <w:b/>
        </w:rPr>
        <w:t xml:space="preserve">Document Title:</w:t>
      </w:r>
      <w:r>
        <w:t xml:space="preserve"> </w:t>
      </w:r>
      <w:r>
        <w:t xml:space="preserve">Experiment Protocol for Electrical Engineering Research</w:t>
      </w:r>
    </w:p>
    <w:p>
      <w:pPr>
        <w:pStyle w:val="BodyText"/>
      </w:pPr>
      <w:r>
        <w:rPr>
          <w:bCs/>
          <w:b/>
        </w:rPr>
        <w:t xml:space="preserve">Location:</w:t>
      </w:r>
      <w:r>
        <w:t xml:space="preserve"> </w:t>
      </w:r>
      <w:r>
        <w:t xml:space="preserve">Medellín, Colombia</w:t>
      </w:r>
    </w:p>
    <w:p>
      <w:pPr>
        <w:pStyle w:val="BodyText"/>
      </w:pPr>
      <w:r>
        <w:rPr>
          <w:bCs/>
          <w:b/>
        </w:rPr>
        <w:t xml:space="preserve">Prepared by:</w:t>
      </w:r>
      <w:r>
        <w:t xml:space="preserve"> </w:t>
      </w:r>
      <w:r>
        <w:t xml:space="preserve">Electrical Engineer Research Team</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methodologies, and safety guidelines for conducting electrical engineering experiments in Medellín, Colombia. The protocol is designed to ensure that all experiments are conducted in a safe, efficient, and standardized manner, adhering to both international best practices and local regulations specific to Colombia.</w:t>
      </w:r>
    </w:p>
    <w:p>
      <w:pPr>
        <w:pStyle w:val="BodyText"/>
      </w:pPr>
      <w:r>
        <w:t xml:space="preserve">Medellín, known for its technological advancements and innovation, provides an ideal environment for electrical engineering research. This protocol is tailored to address the unique challenges and opportunities presented by the city's infrastructure, climate, and regulatory framework.</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establish a clear and systematic approach for conducting electrical engineering experiments.</w:t>
      </w:r>
    </w:p>
    <w:p>
      <w:pPr>
        <w:numPr>
          <w:ilvl w:val="0"/>
          <w:numId w:val="1001"/>
        </w:numPr>
        <w:pStyle w:val="Compact"/>
      </w:pPr>
      <w:r>
        <w:t xml:space="preserve">To ensure the safety of all personnel involved in the experiments.</w:t>
      </w:r>
    </w:p>
    <w:p>
      <w:pPr>
        <w:numPr>
          <w:ilvl w:val="0"/>
          <w:numId w:val="1001"/>
        </w:numPr>
        <w:pStyle w:val="Compact"/>
      </w:pPr>
      <w:r>
        <w:t xml:space="preserve">To comply with Colombian electrical safety standards and regulations.</w:t>
      </w:r>
    </w:p>
    <w:p>
      <w:pPr>
        <w:numPr>
          <w:ilvl w:val="0"/>
          <w:numId w:val="1001"/>
        </w:numPr>
        <w:pStyle w:val="Compact"/>
      </w:pPr>
      <w:r>
        <w:t xml:space="preserve">To promote reproducibility and accuracy in experimental results.</w:t>
      </w:r>
    </w:p>
    <w:p>
      <w:pPr>
        <w:numPr>
          <w:ilvl w:val="0"/>
          <w:numId w:val="1001"/>
        </w:numPr>
        <w:pStyle w:val="Compact"/>
      </w:pPr>
      <w:r>
        <w:t xml:space="preserve">To facilitate collaboration among electrical engineers and researchers in Medellín.</w:t>
      </w:r>
    </w:p>
    <w:bookmarkEnd w:id="21"/>
    <w:bookmarkStart w:id="22" w:name="scope"/>
    <w:p>
      <w:pPr>
        <w:pStyle w:val="Heading2"/>
      </w:pPr>
      <w:r>
        <w:t xml:space="preserve">3. Scope</w:t>
      </w:r>
    </w:p>
    <w:p>
      <w:pPr>
        <w:pStyle w:val="FirstParagraph"/>
      </w:pPr>
      <w:r>
        <w:t xml:space="preserve">This protocol applies to all electrical engineering experiments conducted within the city of Medellín, Colombia. It covers a wide range of activities, including but not limited to:</w:t>
      </w:r>
    </w:p>
    <w:p>
      <w:pPr>
        <w:numPr>
          <w:ilvl w:val="0"/>
          <w:numId w:val="1002"/>
        </w:numPr>
        <w:pStyle w:val="Compact"/>
      </w:pPr>
      <w:r>
        <w:t xml:space="preserve">Power system analysis and testing.</w:t>
      </w:r>
    </w:p>
    <w:p>
      <w:pPr>
        <w:numPr>
          <w:ilvl w:val="0"/>
          <w:numId w:val="1002"/>
        </w:numPr>
        <w:pStyle w:val="Compact"/>
      </w:pPr>
      <w:r>
        <w:t xml:space="preserve">Electronics and circuit design experiments.</w:t>
      </w:r>
    </w:p>
    <w:p>
      <w:pPr>
        <w:numPr>
          <w:ilvl w:val="0"/>
          <w:numId w:val="1002"/>
        </w:numPr>
        <w:pStyle w:val="Compact"/>
      </w:pPr>
      <w:r>
        <w:t xml:space="preserve">Renewable energy system evaluations.</w:t>
      </w:r>
    </w:p>
    <w:p>
      <w:pPr>
        <w:numPr>
          <w:ilvl w:val="0"/>
          <w:numId w:val="1002"/>
        </w:numPr>
        <w:pStyle w:val="Compact"/>
      </w:pPr>
      <w:r>
        <w:t xml:space="preserve">Control systems and automation testing.</w:t>
      </w:r>
    </w:p>
    <w:p>
      <w:pPr>
        <w:numPr>
          <w:ilvl w:val="0"/>
          <w:numId w:val="1002"/>
        </w:numPr>
        <w:pStyle w:val="Compact"/>
      </w:pPr>
      <w:r>
        <w:t xml:space="preserve">Electromagnetic compatibility (EMC) studies.</w:t>
      </w:r>
    </w:p>
    <w:bookmarkEnd w:id="22"/>
    <w:bookmarkStart w:id="25" w:name="safety-guidelines"/>
    <w:p>
      <w:pPr>
        <w:pStyle w:val="Heading2"/>
      </w:pPr>
      <w:r>
        <w:t xml:space="preserve">4. Safety Guidelines</w:t>
      </w:r>
    </w:p>
    <w:p>
      <w:pPr>
        <w:pStyle w:val="FirstParagraph"/>
      </w:pPr>
      <w:r>
        <w:t xml:space="preserve">Safety is the top priority in all electrical engineering experiments. The following guidelines must be strictly followed:</w:t>
      </w:r>
    </w:p>
    <w:bookmarkStart w:id="23" w:name="personal-protective-equipment-ppe"/>
    <w:p>
      <w:pPr>
        <w:pStyle w:val="Heading3"/>
      </w:pPr>
      <w:r>
        <w:t xml:space="preserve">4.1 Personal Protective Equipment (PPE)</w:t>
      </w:r>
    </w:p>
    <w:p>
      <w:pPr>
        <w:pStyle w:val="FirstParagraph"/>
      </w:pPr>
      <w:r>
        <w:t xml:space="preserve">All personnel must wear appropriate PPE, including:</w:t>
      </w:r>
    </w:p>
    <w:p>
      <w:pPr>
        <w:numPr>
          <w:ilvl w:val="0"/>
          <w:numId w:val="1003"/>
        </w:numPr>
        <w:pStyle w:val="Compact"/>
      </w:pPr>
      <w:r>
        <w:t xml:space="preserve">Insulated gloves.</w:t>
      </w:r>
    </w:p>
    <w:p>
      <w:pPr>
        <w:numPr>
          <w:ilvl w:val="0"/>
          <w:numId w:val="1003"/>
        </w:numPr>
        <w:pStyle w:val="Compact"/>
      </w:pPr>
      <w:r>
        <w:t xml:space="preserve">Safety glasses.</w:t>
      </w:r>
    </w:p>
    <w:p>
      <w:pPr>
        <w:numPr>
          <w:ilvl w:val="0"/>
          <w:numId w:val="1003"/>
        </w:numPr>
        <w:pStyle w:val="Compact"/>
      </w:pPr>
      <w:r>
        <w:t xml:space="preserve">Non-conductive footwear.</w:t>
      </w:r>
    </w:p>
    <w:p>
      <w:pPr>
        <w:numPr>
          <w:ilvl w:val="0"/>
          <w:numId w:val="1003"/>
        </w:numPr>
        <w:pStyle w:val="Compact"/>
      </w:pPr>
      <w:r>
        <w:t xml:space="preserve">Flame-resistant clothing.</w:t>
      </w:r>
    </w:p>
    <w:bookmarkEnd w:id="23"/>
    <w:bookmarkStart w:id="24" w:name="electrical-safety"/>
    <w:p>
      <w:pPr>
        <w:pStyle w:val="Heading3"/>
      </w:pPr>
      <w:r>
        <w:t xml:space="preserve">4.2 Electrical Safety</w:t>
      </w:r>
    </w:p>
    <w:p>
      <w:pPr>
        <w:pStyle w:val="FirstParagraph"/>
      </w:pPr>
      <w:r>
        <w:t xml:space="preserve">Adhere to the following electrical safety measures:</w:t>
      </w:r>
    </w:p>
    <w:p>
      <w:pPr>
        <w:numPr>
          <w:ilvl w:val="0"/>
          <w:numId w:val="1004"/>
        </w:numPr>
        <w:pStyle w:val="Compact"/>
      </w:pPr>
      <w:r>
        <w:t xml:space="preserve">Ensure all equipment is properly grounded.</w:t>
      </w:r>
    </w:p>
    <w:p>
      <w:pPr>
        <w:numPr>
          <w:ilvl w:val="0"/>
          <w:numId w:val="1004"/>
        </w:numPr>
        <w:pStyle w:val="Compact"/>
      </w:pPr>
      <w:r>
        <w:t xml:space="preserve">Use lockout/tagout procedures when working on live circuits.</w:t>
      </w:r>
    </w:p>
    <w:p>
      <w:pPr>
        <w:numPr>
          <w:ilvl w:val="0"/>
          <w:numId w:val="1004"/>
        </w:numPr>
        <w:pStyle w:val="Compact"/>
      </w:pPr>
      <w:r>
        <w:t xml:space="preserve">Regularly inspect tools and equipment for damage.</w:t>
      </w:r>
    </w:p>
    <w:p>
      <w:pPr>
        <w:numPr>
          <w:ilvl w:val="0"/>
          <w:numId w:val="1004"/>
        </w:numPr>
        <w:pStyle w:val="Compact"/>
      </w:pPr>
      <w:r>
        <w:t xml:space="preserve">Maintain a safe distance from high-voltage components.</w:t>
      </w:r>
    </w:p>
    <w:p>
      <w:pPr>
        <w:pStyle w:val="FirstParagraph"/>
      </w:pPr>
      <w:r>
        <w:rPr>
          <w:bCs/>
          <w:b/>
        </w:rPr>
        <w:t xml:space="preserve">Warning:</w:t>
      </w:r>
      <w:r>
        <w:t xml:space="preserve"> </w:t>
      </w:r>
      <w:r>
        <w:t xml:space="preserve">Failure to follow safety guidelines may result in severe injury or death. Always prioritize safety over speed or convenience.</w:t>
      </w:r>
    </w:p>
    <w:bookmarkEnd w:id="24"/>
    <w:bookmarkEnd w:id="25"/>
    <w:bookmarkStart w:id="30" w:name="experimental-procedures"/>
    <w:p>
      <w:pPr>
        <w:pStyle w:val="Heading2"/>
      </w:pPr>
      <w:r>
        <w:t xml:space="preserve">5. Experimental Procedures</w:t>
      </w:r>
    </w:p>
    <w:p>
      <w:pPr>
        <w:pStyle w:val="FirstParagraph"/>
      </w:pPr>
      <w:r>
        <w:t xml:space="preserve">The following steps outline the general procedure for conducting experiments:</w:t>
      </w:r>
    </w:p>
    <w:bookmarkStart w:id="26" w:name="preparation"/>
    <w:p>
      <w:pPr>
        <w:pStyle w:val="Heading3"/>
      </w:pPr>
      <w:r>
        <w:t xml:space="preserve">5.1 Preparation</w:t>
      </w:r>
    </w:p>
    <w:p>
      <w:pPr>
        <w:numPr>
          <w:ilvl w:val="0"/>
          <w:numId w:val="1005"/>
        </w:numPr>
        <w:pStyle w:val="Compact"/>
      </w:pPr>
      <w:r>
        <w:t xml:space="preserve">Review the experiment objectives and requirements.</w:t>
      </w:r>
    </w:p>
    <w:p>
      <w:pPr>
        <w:numPr>
          <w:ilvl w:val="0"/>
          <w:numId w:val="1005"/>
        </w:numPr>
        <w:pStyle w:val="Compact"/>
      </w:pPr>
      <w:r>
        <w:t xml:space="preserve">Gather all necessary equipment and materials.</w:t>
      </w:r>
    </w:p>
    <w:p>
      <w:pPr>
        <w:numPr>
          <w:ilvl w:val="0"/>
          <w:numId w:val="1005"/>
        </w:numPr>
        <w:pStyle w:val="Compact"/>
      </w:pPr>
      <w:r>
        <w:t xml:space="preserve">Conduct a risk assessment and identify potential hazards.</w:t>
      </w:r>
    </w:p>
    <w:p>
      <w:pPr>
        <w:numPr>
          <w:ilvl w:val="0"/>
          <w:numId w:val="1005"/>
        </w:numPr>
        <w:pStyle w:val="Compact"/>
      </w:pPr>
      <w:r>
        <w:t xml:space="preserve">Ensure all personnel are trained and briefed on the experiment.</w:t>
      </w:r>
    </w:p>
    <w:bookmarkEnd w:id="26"/>
    <w:bookmarkStart w:id="27" w:name="setup"/>
    <w:p>
      <w:pPr>
        <w:pStyle w:val="Heading3"/>
      </w:pPr>
      <w:r>
        <w:t xml:space="preserve">5.2 Setup</w:t>
      </w:r>
    </w:p>
    <w:p>
      <w:pPr>
        <w:numPr>
          <w:ilvl w:val="0"/>
          <w:numId w:val="1006"/>
        </w:numPr>
        <w:pStyle w:val="Compact"/>
      </w:pPr>
      <w:r>
        <w:t xml:space="preserve">Assemble the experimental setup according to the design specifications.</w:t>
      </w:r>
    </w:p>
    <w:p>
      <w:pPr>
        <w:numPr>
          <w:ilvl w:val="0"/>
          <w:numId w:val="1006"/>
        </w:numPr>
        <w:pStyle w:val="Compact"/>
      </w:pPr>
      <w:r>
        <w:t xml:space="preserve">Verify all connections and calibrate instruments.</w:t>
      </w:r>
    </w:p>
    <w:p>
      <w:pPr>
        <w:numPr>
          <w:ilvl w:val="0"/>
          <w:numId w:val="1006"/>
        </w:numPr>
        <w:pStyle w:val="Compact"/>
      </w:pPr>
      <w:r>
        <w:t xml:space="preserve">Perform a preliminary test to ensure the setup is functioning correctly.</w:t>
      </w:r>
    </w:p>
    <w:bookmarkEnd w:id="27"/>
    <w:bookmarkStart w:id="28" w:name="execution"/>
    <w:p>
      <w:pPr>
        <w:pStyle w:val="Heading3"/>
      </w:pPr>
      <w:r>
        <w:t xml:space="preserve">5.3 Execution</w:t>
      </w:r>
    </w:p>
    <w:p>
      <w:pPr>
        <w:numPr>
          <w:ilvl w:val="0"/>
          <w:numId w:val="1007"/>
        </w:numPr>
        <w:pStyle w:val="Compact"/>
      </w:pPr>
      <w:r>
        <w:t xml:space="preserve">Begin the experiment and collect data systematically.</w:t>
      </w:r>
    </w:p>
    <w:p>
      <w:pPr>
        <w:numPr>
          <w:ilvl w:val="0"/>
          <w:numId w:val="1007"/>
        </w:numPr>
        <w:pStyle w:val="Compact"/>
      </w:pPr>
      <w:r>
        <w:t xml:space="preserve">Monitor the experiment closely for any anomalies or issues.</w:t>
      </w:r>
    </w:p>
    <w:p>
      <w:pPr>
        <w:numPr>
          <w:ilvl w:val="0"/>
          <w:numId w:val="1007"/>
        </w:numPr>
        <w:pStyle w:val="Compact"/>
      </w:pPr>
      <w:r>
        <w:t xml:space="preserve">Record all observations and measurements accurately.</w:t>
      </w:r>
    </w:p>
    <w:bookmarkEnd w:id="28"/>
    <w:bookmarkStart w:id="29" w:name="analysis"/>
    <w:p>
      <w:pPr>
        <w:pStyle w:val="Heading3"/>
      </w:pPr>
      <w:r>
        <w:t xml:space="preserve">5.4 Analysis</w:t>
      </w:r>
    </w:p>
    <w:p>
      <w:pPr>
        <w:numPr>
          <w:ilvl w:val="0"/>
          <w:numId w:val="1008"/>
        </w:numPr>
        <w:pStyle w:val="Compact"/>
      </w:pPr>
      <w:r>
        <w:t xml:space="preserve">Analyze the collected data using appropriate methods and tools.</w:t>
      </w:r>
    </w:p>
    <w:p>
      <w:pPr>
        <w:numPr>
          <w:ilvl w:val="0"/>
          <w:numId w:val="1008"/>
        </w:numPr>
        <w:pStyle w:val="Compact"/>
      </w:pPr>
      <w:r>
        <w:t xml:space="preserve">Compare results with expected outcomes and identify any discrepancies.</w:t>
      </w:r>
    </w:p>
    <w:p>
      <w:pPr>
        <w:numPr>
          <w:ilvl w:val="0"/>
          <w:numId w:val="1008"/>
        </w:numPr>
        <w:pStyle w:val="Compact"/>
      </w:pPr>
      <w:r>
        <w:t xml:space="preserve">Document findings and draw conclusions.</w:t>
      </w:r>
    </w:p>
    <w:bookmarkEnd w:id="29"/>
    <w:bookmarkEnd w:id="30"/>
    <w:bookmarkStart w:id="31" w:name="equipment-and-materials"/>
    <w:p>
      <w:pPr>
        <w:pStyle w:val="Heading2"/>
      </w:pPr>
      <w:r>
        <w:t xml:space="preserve">6. Equipment and Materials</w:t>
      </w:r>
    </w:p>
    <w:p>
      <w:pPr>
        <w:pStyle w:val="FirstParagraph"/>
      </w:pPr>
      <w:r>
        <w:t xml:space="preserve">The following equipment and materials are commonly used in electrical engineering experiments in Medellín: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Oscilloscope</w:t>
            </w:r>
          </w:p>
        </w:tc>
        <w:tc>
          <w:tcPr/>
          <w:p>
            <w:pPr>
              <w:pStyle w:val="Compact"/>
              <w:jc w:val="left"/>
            </w:pPr>
            <w:r>
              <w:t xml:space="preserve">For signal analysis</w:t>
            </w:r>
          </w:p>
        </w:tc>
        <w:tc>
          <w:tcPr/>
          <w:p>
            <w:pPr>
              <w:pStyle w:val="Compact"/>
              <w:jc w:val="left"/>
            </w:pPr>
            <w:r>
              <w:t xml:space="preserve">2</w:t>
            </w:r>
          </w:p>
        </w:tc>
      </w:tr>
      <w:tr>
        <w:tc>
          <w:tcPr/>
          <w:p>
            <w:pPr>
              <w:pStyle w:val="Compact"/>
              <w:jc w:val="left"/>
            </w:pPr>
            <w:r>
              <w:t xml:space="preserve">Power Supply</w:t>
            </w:r>
          </w:p>
        </w:tc>
        <w:tc>
          <w:tcPr/>
          <w:p>
            <w:pPr>
              <w:pStyle w:val="Compact"/>
              <w:jc w:val="left"/>
            </w:pPr>
            <w:r>
              <w:t xml:space="preserve">Adjustable DC/AC power supply</w:t>
            </w:r>
          </w:p>
        </w:tc>
        <w:tc>
          <w:tcPr/>
          <w:p>
            <w:pPr>
              <w:pStyle w:val="Compact"/>
              <w:jc w:val="left"/>
            </w:pPr>
            <w:r>
              <w:t xml:space="preserve">3</w:t>
            </w:r>
          </w:p>
        </w:tc>
      </w:tr>
      <w:tr>
        <w:tc>
          <w:tcPr/>
          <w:p>
            <w:pPr>
              <w:pStyle w:val="Compact"/>
              <w:jc w:val="left"/>
            </w:pPr>
            <w:r>
              <w:t xml:space="preserve">Multimeter</w:t>
            </w:r>
          </w:p>
        </w:tc>
        <w:tc>
          <w:tcPr/>
          <w:p>
            <w:pPr>
              <w:pStyle w:val="Compact"/>
              <w:jc w:val="left"/>
            </w:pPr>
            <w:r>
              <w:t xml:space="preserve">For voltage, current, and resistance measurements</w:t>
            </w:r>
          </w:p>
        </w:tc>
        <w:tc>
          <w:tcPr/>
          <w:p>
            <w:pPr>
              <w:pStyle w:val="Compact"/>
              <w:jc w:val="left"/>
            </w:pPr>
            <w:r>
              <w:t xml:space="preserve">5</w:t>
            </w:r>
          </w:p>
        </w:tc>
      </w:tr>
      <w:tr>
        <w:tc>
          <w:tcPr/>
          <w:p>
            <w:pPr>
              <w:pStyle w:val="Compact"/>
              <w:jc w:val="left"/>
            </w:pPr>
            <w:r>
              <w:t xml:space="preserve">Function Generator</w:t>
            </w:r>
          </w:p>
        </w:tc>
        <w:tc>
          <w:tcPr/>
          <w:p>
            <w:pPr>
              <w:pStyle w:val="Compact"/>
              <w:jc w:val="left"/>
            </w:pPr>
            <w:r>
              <w:t xml:space="preserve">For generating test signals</w:t>
            </w:r>
          </w:p>
        </w:tc>
        <w:tc>
          <w:tcPr/>
          <w:p>
            <w:pPr>
              <w:pStyle w:val="Compact"/>
              <w:jc w:val="left"/>
            </w:pPr>
            <w:r>
              <w:t xml:space="preserve">2</w:t>
            </w:r>
          </w:p>
        </w:tc>
      </w:tr>
      <w:tr>
        <w:tc>
          <w:tcPr/>
          <w:p>
            <w:pPr>
              <w:pStyle w:val="Compact"/>
              <w:jc w:val="left"/>
            </w:pPr>
            <w:r>
              <w:t xml:space="preserve">Resistors, Capacitors, Inductors</w:t>
            </w:r>
          </w:p>
        </w:tc>
        <w:tc>
          <w:tcPr/>
          <w:p>
            <w:pPr>
              <w:pStyle w:val="Compact"/>
              <w:jc w:val="left"/>
            </w:pPr>
            <w:r>
              <w:t xml:space="preserve">Various values for circuit construction</w:t>
            </w:r>
          </w:p>
        </w:tc>
        <w:tc>
          <w:tcPr/>
          <w:p>
            <w:pPr>
              <w:pStyle w:val="Compact"/>
              <w:jc w:val="left"/>
            </w:pPr>
            <w:r>
              <w:t xml:space="preserve">As needed</w:t>
            </w:r>
          </w:p>
        </w:tc>
      </w:tr>
    </w:tbl>
    <w:bookmarkEnd w:id="31"/>
    <w:bookmarkStart w:id="32" w:name="data-recording-and-reporting"/>
    <w:p>
      <w:pPr>
        <w:pStyle w:val="Heading2"/>
      </w:pPr>
      <w:r>
        <w:t xml:space="preserve">7. Data Recording and Reporting</w:t>
      </w:r>
    </w:p>
    <w:p>
      <w:pPr>
        <w:pStyle w:val="FirstParagraph"/>
      </w:pPr>
      <w:r>
        <w:t xml:space="preserve">Accurate data recording and reporting are essential for the validity of the experiment. The following guidelines should be followed:</w:t>
      </w:r>
    </w:p>
    <w:p>
      <w:pPr>
        <w:numPr>
          <w:ilvl w:val="0"/>
          <w:numId w:val="1009"/>
        </w:numPr>
        <w:pStyle w:val="Compact"/>
      </w:pPr>
      <w:r>
        <w:t xml:space="preserve">Use standardized forms and templates for data collection.</w:t>
      </w:r>
    </w:p>
    <w:p>
      <w:pPr>
        <w:numPr>
          <w:ilvl w:val="0"/>
          <w:numId w:val="1009"/>
        </w:numPr>
        <w:pStyle w:val="Compact"/>
      </w:pPr>
      <w:r>
        <w:t xml:space="preserve">Record all data in real-time to avoid errors or omissions.</w:t>
      </w:r>
    </w:p>
    <w:p>
      <w:pPr>
        <w:numPr>
          <w:ilvl w:val="0"/>
          <w:numId w:val="1009"/>
        </w:numPr>
        <w:pStyle w:val="Compact"/>
      </w:pPr>
      <w:r>
        <w:t xml:space="preserve">Include detailed descriptions of the experimental setup and procedures.</w:t>
      </w:r>
    </w:p>
    <w:p>
      <w:pPr>
        <w:numPr>
          <w:ilvl w:val="0"/>
          <w:numId w:val="1009"/>
        </w:numPr>
        <w:pStyle w:val="Compact"/>
      </w:pPr>
      <w:r>
        <w:t xml:space="preserve">Provide clear and concise interpretations of the results.</w:t>
      </w:r>
    </w:p>
    <w:p>
      <w:pPr>
        <w:numPr>
          <w:ilvl w:val="0"/>
          <w:numId w:val="1009"/>
        </w:numPr>
        <w:pStyle w:val="Compact"/>
      </w:pPr>
      <w:r>
        <w:t xml:space="preserve">Submit reports to the relevant authorities or stakeholders in Medellín.</w:t>
      </w:r>
    </w:p>
    <w:bookmarkEnd w:id="32"/>
    <w:bookmarkStart w:id="33" w:name="compliance-with-local-regulations"/>
    <w:p>
      <w:pPr>
        <w:pStyle w:val="Heading2"/>
      </w:pPr>
      <w:r>
        <w:t xml:space="preserve">8. Compliance with Local Regulations</w:t>
      </w:r>
    </w:p>
    <w:p>
      <w:pPr>
        <w:pStyle w:val="FirstParagraph"/>
      </w:pPr>
      <w:r>
        <w:t xml:space="preserve">All experiments must comply with Colombian electrical safety standards and regulations, including:</w:t>
      </w:r>
    </w:p>
    <w:p>
      <w:pPr>
        <w:numPr>
          <w:ilvl w:val="0"/>
          <w:numId w:val="1010"/>
        </w:numPr>
        <w:pStyle w:val="Compact"/>
      </w:pPr>
      <w:r>
        <w:t xml:space="preserve">RETIE (Reglamento Técnico de Instalaciones Eléctricas).</w:t>
      </w:r>
    </w:p>
    <w:p>
      <w:pPr>
        <w:numPr>
          <w:ilvl w:val="0"/>
          <w:numId w:val="1010"/>
        </w:numPr>
        <w:pStyle w:val="Compact"/>
      </w:pPr>
      <w:r>
        <w:t xml:space="preserve">RETILAP (Reglamento Técnico de Instalaciones de Alta Potencia).</w:t>
      </w:r>
    </w:p>
    <w:p>
      <w:pPr>
        <w:numPr>
          <w:ilvl w:val="0"/>
          <w:numId w:val="1010"/>
        </w:numPr>
        <w:pStyle w:val="Compact"/>
      </w:pPr>
      <w:r>
        <w:t xml:space="preserve">Local ordinances specific to Medellín.</w:t>
      </w:r>
    </w:p>
    <w:p>
      <w:pPr>
        <w:pStyle w:val="FirstParagraph"/>
      </w:pPr>
      <w:r>
        <w:rPr>
          <w:bCs/>
          <w:b/>
        </w:rPr>
        <w:t xml:space="preserve">Note:</w:t>
      </w:r>
      <w:r>
        <w:t xml:space="preserve"> </w:t>
      </w:r>
      <w:r>
        <w:t xml:space="preserve">Electrical engineers in Medellín must stay updated on any changes to these regulations to ensure ongoing compliance.</w:t>
      </w:r>
    </w:p>
    <w:bookmarkEnd w:id="33"/>
    <w:bookmarkStart w:id="34" w:name="conclusion"/>
    <w:p>
      <w:pPr>
        <w:pStyle w:val="Heading2"/>
      </w:pPr>
      <w:r>
        <w:t xml:space="preserve">9. Conclusion</w:t>
      </w:r>
    </w:p>
    <w:p>
      <w:pPr>
        <w:pStyle w:val="FirstParagraph"/>
      </w:pPr>
      <w:r>
        <w:t xml:space="preserve">This Experiment Protocol provides a comprehensive framework for conducting electrical engineering experiments in Medellín, Colombia. By adhering to the guidelines and procedures outlined in this document, electrical engineers can ensure the safety, accuracy, and reproducibility of their work. This protocol is a living document and should be reviewed and updated regularly to reflect new developments in the field and changes in local regulations.</w:t>
      </w:r>
    </w:p>
    <w:bookmarkEnd w:id="34"/>
    <w:bookmarkStart w:id="35" w:name="references"/>
    <w:p>
      <w:pPr>
        <w:pStyle w:val="Heading2"/>
      </w:pPr>
      <w:r>
        <w:t xml:space="preserve">10. References</w:t>
      </w:r>
    </w:p>
    <w:p>
      <w:pPr>
        <w:numPr>
          <w:ilvl w:val="0"/>
          <w:numId w:val="1011"/>
        </w:numPr>
        <w:pStyle w:val="Compact"/>
      </w:pPr>
      <w:r>
        <w:t xml:space="preserve">RETIE - Reglamento Técnico de Instalaciones Eléctricas.</w:t>
      </w:r>
    </w:p>
    <w:p>
      <w:pPr>
        <w:numPr>
          <w:ilvl w:val="0"/>
          <w:numId w:val="1011"/>
        </w:numPr>
        <w:pStyle w:val="Compact"/>
      </w:pPr>
      <w:r>
        <w:t xml:space="preserve">RETILAP - Reglamento Técnico de Instalaciones de Alta Potencia.</w:t>
      </w:r>
    </w:p>
    <w:p>
      <w:pPr>
        <w:numPr>
          <w:ilvl w:val="0"/>
          <w:numId w:val="1011"/>
        </w:numPr>
        <w:pStyle w:val="Compact"/>
      </w:pPr>
      <w:r>
        <w:t xml:space="preserve">IEEE Standards for Electrical Safety.</w:t>
      </w:r>
    </w:p>
    <w:p>
      <w:pPr>
        <w:numPr>
          <w:ilvl w:val="0"/>
          <w:numId w:val="1011"/>
        </w:numPr>
        <w:pStyle w:val="Compact"/>
      </w:pPr>
      <w:r>
        <w:t xml:space="preserve">Local Medellín Electrical Engineering Guidelines.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Colombia Medellín</dc:title>
  <dc:creator/>
  <dc:language>en</dc:language>
  <cp:keywords/>
  <dcterms:created xsi:type="dcterms:W3CDTF">2026-10-10T03:36:06Z</dcterms:created>
  <dcterms:modified xsi:type="dcterms:W3CDTF">2026-10-10T03:36:06Z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