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p>
      <w:pPr>
        <w:pStyle w:val="FirstParagraph"/>
      </w:pPr>
      <w:r>
        <w:rPr>
          <w:bCs/>
          <w:b/>
        </w:rPr>
        <w:t xml:space="preserve">Document ID:</w:t>
      </w:r>
      <w:r>
        <w:t xml:space="preserve"> </w:t>
      </w:r>
      <w:r>
        <w:t xml:space="preserve">EXP-LYON-EE-2024-089</w:t>
      </w:r>
      <w:r>
        <w:br/>
      </w:r>
      <w:r>
        <w:rPr>
          <w:bCs/>
          <w:b/>
        </w:rPr>
        <w:t xml:space="preserve">Version:</w:t>
      </w:r>
      <w:r>
        <w:t xml:space="preserve"> </w:t>
      </w:r>
      <w:r>
        <w:t xml:space="preserve">1.2</w:t>
      </w:r>
    </w:p>
    <w:p>
      <w:pPr>
        <w:pStyle w:val="BodyText"/>
      </w:pPr>
      <w:r>
        <w:rPr>
          <w:bCs/>
          <w:b/>
        </w:rPr>
        <w:t xml:space="preserve">Date:</w:t>
      </w:r>
      <w:r>
        <w:t xml:space="preserve"> </w:t>
      </w:r>
      <w:r>
        <w:t xml:space="preserve">October 24, 2024</w:t>
      </w:r>
      <w:r>
        <w:br/>
      </w:r>
      <w:r>
        <w:rPr>
          <w:bCs/>
          <w:b/>
        </w:rPr>
        <w:t xml:space="preserve">Location:</w:t>
      </w:r>
      <w:r>
        <w:t xml:space="preserve"> </w:t>
      </w:r>
      <w:r>
        <w:t xml:space="preserve">Lyon, France</w:t>
      </w:r>
    </w:p>
    <w:bookmarkStart w:id="31" w:name="X10d4ab0716bcba8a921d5d37d4b193e819eedaa"/>
    <w:p>
      <w:pPr>
        <w:pStyle w:val="Heading1"/>
      </w:pPr>
      <w:r>
        <w:t xml:space="preserve">Experiment Protocol: High-Voltage Grid Stability Analysis</w:t>
      </w:r>
    </w:p>
    <w:p>
      <w:pPr>
        <w:pStyle w:val="FirstParagraph"/>
      </w:pPr>
      <w:r>
        <w:rPr>
          <w:bCs/>
          <w:b/>
        </w:rPr>
        <w:t xml:space="preserve">Prepared by:</w:t>
      </w:r>
      <w:r>
        <w:t xml:space="preserve"> </w:t>
      </w:r>
      <w:r>
        <w:t xml:space="preserve">Senior Electrical Engineer Team</w:t>
      </w:r>
      <w:r>
        <w:br/>
      </w:r>
      <w:r>
        <w:rPr>
          <w:bCs/>
          <w:b/>
        </w:rPr>
        <w:t xml:space="preserve">Facility:</w:t>
      </w:r>
      <w:r>
        <w:t xml:space="preserve"> </w:t>
      </w:r>
      <w:r>
        <w:t xml:space="preserve">Advanced Power Systems Laboratory, Lyon Technopole</w:t>
      </w:r>
      <w:r>
        <w:br/>
      </w:r>
      <w:r>
        <w:rPr>
          <w:bCs/>
          <w:b/>
        </w:rPr>
        <w:t xml:space="preserve">Regulatory Framework:</w:t>
      </w:r>
      <w:r>
        <w:t xml:space="preserve"> </w:t>
      </w:r>
      <w:r>
        <w:t xml:space="preserve">NF C 15-100, IEC 61850, French Energy Code</w:t>
      </w:r>
    </w:p>
    <w:bookmarkStart w:id="20" w:name="introduction-and-objective"/>
    <w:p>
      <w:pPr>
        <w:pStyle w:val="Heading2"/>
      </w:pPr>
      <w:r>
        <w:t xml:space="preserve">1. Introduction and Objective</w:t>
      </w:r>
    </w:p>
    <w:p>
      <w:pPr>
        <w:pStyle w:val="FirstParagraph"/>
      </w:pPr>
      <w:r>
        <w:t xml:space="preserve">This Experiment Protocol outlines the rigorous methodology required for the assessment of transient stability within the high-voltage distribution network serving the Lyon metropolitan area. As an Electrical Engineer operating within the dynamic industrial landscape of France Lyon, the primary objective is to evaluate the resilience of the local grid against sudden load fluctuations caused by the integration of renewable energy sources and industrial automation.</w:t>
      </w:r>
    </w:p>
    <w:p>
      <w:pPr>
        <w:pStyle w:val="BodyText"/>
      </w:pPr>
      <w:r>
        <w:t xml:space="preserve">The specific goal of this experiment is to simulate a three-phase short-circuit fault at the 63kV substation level and measure the response time of the protective relays and the subsequent voltage recovery profile. This data is critical for ensuring compliance with the strict safety standards mandated by the French government and for optimizing the reliability of power supply to critical infrastructure in the Auvergne-Rhône-Alpes region.</w:t>
      </w:r>
    </w:p>
    <w:bookmarkEnd w:id="20"/>
    <w:bookmarkStart w:id="21" w:name="scope-and-applicability"/>
    <w:p>
      <w:pPr>
        <w:pStyle w:val="Heading2"/>
      </w:pPr>
      <w:r>
        <w:t xml:space="preserve">2. Scope and Applicability</w:t>
      </w:r>
    </w:p>
    <w:p>
      <w:pPr>
        <w:pStyle w:val="FirstParagraph"/>
      </w:pPr>
      <w:r>
        <w:t xml:space="preserve">This protocol applies exclusively to the testing procedures conducted at the Lyon Technopole facility. It is designed for use by qualified Electrical Engineers who possess the necessary certifications to work on high-voltage equipment in France. The scope includes the configuration of the simulation environment, the execution of the fault injection, data acquisition, and the post-experiment analysis. All procedures must adhere to the local regulations of Lyon and the national standards set by the Commission de Régulation de l'Énergie (CRE).</w:t>
      </w:r>
    </w:p>
    <w:bookmarkEnd w:id="21"/>
    <w:bookmarkStart w:id="22" w:name="safety-precautions-and-risk-management"/>
    <w:p>
      <w:pPr>
        <w:pStyle w:val="Heading2"/>
      </w:pPr>
      <w:r>
        <w:t xml:space="preserve">3. Safety Precautions and Risk Management</w:t>
      </w:r>
    </w:p>
    <w:p>
      <w:pPr>
        <w:pStyle w:val="FirstParagraph"/>
      </w:pPr>
      <w:r>
        <w:t xml:space="preserve">Safety is the paramount concern for any Electrical Engineer conducting high-voltage experiments. Given the location in France Lyon, all safety protocols must align with the French Labor Code (Code du Travail) regarding electrical risks.</w:t>
      </w:r>
    </w:p>
    <w:p>
      <w:pPr>
        <w:pStyle w:val="BodyText"/>
      </w:pPr>
      <w:r>
        <w:rPr>
          <w:bCs/>
          <w:b/>
        </w:rPr>
        <w:t xml:space="preserve">WARNING:</w:t>
      </w:r>
      <w:r>
        <w:t xml:space="preserve"> </w:t>
      </w:r>
      <w:r>
        <w:t xml:space="preserve">This experiment involves lethal voltages. Only personnel with valid "Habilitation Électrique" (Electrical Authorization) levels BR, BC, or B2V are permitted within the restricted zone.</w:t>
      </w:r>
    </w:p>
    <w:p>
      <w:pPr>
        <w:numPr>
          <w:ilvl w:val="0"/>
          <w:numId w:val="1001"/>
        </w:numPr>
        <w:pStyle w:val="Compact"/>
      </w:pPr>
      <w:r>
        <w:rPr>
          <w:bCs/>
          <w:b/>
        </w:rPr>
        <w:t xml:space="preserve">Personal Protective Equipment (PPE):</w:t>
      </w:r>
      <w:r>
        <w:t xml:space="preserve"> </w:t>
      </w:r>
      <w:r>
        <w:t xml:space="preserve">All engineers must wear arc-flash rated suits, dielectric gloves (Class 00 or higher), safety goggles, and insulated footwear.</w:t>
      </w:r>
    </w:p>
    <w:p>
      <w:pPr>
        <w:numPr>
          <w:ilvl w:val="0"/>
          <w:numId w:val="1001"/>
        </w:numPr>
        <w:pStyle w:val="Compact"/>
      </w:pPr>
      <w:r>
        <w:rPr>
          <w:bCs/>
          <w:b/>
        </w:rPr>
        <w:t xml:space="preserve">Lockout/Tagout (LOTO):</w:t>
      </w:r>
      <w:r>
        <w:t xml:space="preserve"> </w:t>
      </w:r>
      <w:r>
        <w:t xml:space="preserve">Strict adherence to the "Consignation" procedure is required before any physical access to the switchgear. This involves isolating the circuit, locking the disconnectors, and verifying the absence of voltage.</w:t>
      </w:r>
    </w:p>
    <w:p>
      <w:pPr>
        <w:numPr>
          <w:ilvl w:val="0"/>
          <w:numId w:val="1001"/>
        </w:numPr>
        <w:pStyle w:val="Compact"/>
      </w:pPr>
      <w:r>
        <w:rPr>
          <w:bCs/>
          <w:b/>
        </w:rPr>
        <w:t xml:space="preserve">Emergency Procedures:</w:t>
      </w:r>
      <w:r>
        <w:t xml:space="preserve"> </w:t>
      </w:r>
      <w:r>
        <w:t xml:space="preserve">The emergency stop buttons must be tested prior to the experiment. The location of the nearest defibrillator and first aid station within the Lyon facility must be known to all participants.</w:t>
      </w:r>
    </w:p>
    <w:p>
      <w:pPr>
        <w:numPr>
          <w:ilvl w:val="0"/>
          <w:numId w:val="1001"/>
        </w:numPr>
        <w:pStyle w:val="Compact"/>
      </w:pPr>
      <w:r>
        <w:rPr>
          <w:bCs/>
          <w:b/>
        </w:rPr>
        <w:t xml:space="preserve">Fire Safety:</w:t>
      </w:r>
      <w:r>
        <w:t xml:space="preserve"> </w:t>
      </w:r>
      <w:r>
        <w:t xml:space="preserve">Given the potential for electrical arcs, fire extinguishers rated for Class C (electrical) fires must be stationed at the perimeter of the test area.</w:t>
      </w:r>
    </w:p>
    <w:bookmarkEnd w:id="22"/>
    <w:bookmarkStart w:id="23" w:name="equipment-and-instrumentation"/>
    <w:p>
      <w:pPr>
        <w:pStyle w:val="Heading2"/>
      </w:pPr>
      <w:r>
        <w:t xml:space="preserve">4. Equipment and Instrumentation</w:t>
      </w:r>
    </w:p>
    <w:p>
      <w:pPr>
        <w:pStyle w:val="FirstParagraph"/>
      </w:pPr>
      <w:r>
        <w:t xml:space="preserve">The following equipment will be utilized for this experiment, ensuring precision and compliance with international standards:</w:t>
      </w:r>
    </w:p>
    <w:p>
      <w:pPr>
        <w:numPr>
          <w:ilvl w:val="0"/>
          <w:numId w:val="1002"/>
        </w:numPr>
        <w:pStyle w:val="Compact"/>
      </w:pPr>
      <w:r>
        <w:rPr>
          <w:bCs/>
          <w:b/>
        </w:rPr>
        <w:t xml:space="preserve">High-Voltage Test Transformer:</w:t>
      </w:r>
      <w:r>
        <w:t xml:space="preserve"> </w:t>
      </w:r>
      <w:r>
        <w:t xml:space="preserve">Rated for 100kV, 50Hz, capable of simulating grid conditions.</w:t>
      </w:r>
    </w:p>
    <w:p>
      <w:pPr>
        <w:numPr>
          <w:ilvl w:val="0"/>
          <w:numId w:val="1002"/>
        </w:numPr>
        <w:pStyle w:val="Compact"/>
      </w:pPr>
      <w:r>
        <w:rPr>
          <w:bCs/>
          <w:b/>
        </w:rPr>
        <w:t xml:space="preserve">Digital Fault Recorder (DFR):</w:t>
      </w:r>
      <w:r>
        <w:t xml:space="preserve"> </w:t>
      </w:r>
      <w:r>
        <w:t xml:space="preserve">To capture transient waveforms with a sampling rate of at least 10kHz.</w:t>
      </w:r>
    </w:p>
    <w:p>
      <w:pPr>
        <w:numPr>
          <w:ilvl w:val="0"/>
          <w:numId w:val="1002"/>
        </w:numPr>
        <w:pStyle w:val="Compact"/>
      </w:pPr>
      <w:r>
        <w:rPr>
          <w:bCs/>
          <w:b/>
        </w:rPr>
        <w:t xml:space="preserve">Protective Relays:</w:t>
      </w:r>
      <w:r>
        <w:t xml:space="preserve"> </w:t>
      </w:r>
      <w:r>
        <w:t xml:space="preserve">IEC 61850 compliant numerical relays configured for the Lyon grid parameters.</w:t>
      </w:r>
    </w:p>
    <w:p>
      <w:pPr>
        <w:numPr>
          <w:ilvl w:val="0"/>
          <w:numId w:val="1002"/>
        </w:numPr>
        <w:pStyle w:val="Compact"/>
      </w:pPr>
      <w:r>
        <w:rPr>
          <w:bCs/>
          <w:b/>
        </w:rPr>
        <w:t xml:space="preserve">Current and Voltage Transformers (CT/VT):</w:t>
      </w:r>
      <w:r>
        <w:t xml:space="preserve"> </w:t>
      </w:r>
      <w:r>
        <w:t xml:space="preserve">Calibrated to ensure accurate scaling of measurements.</w:t>
      </w:r>
    </w:p>
    <w:p>
      <w:pPr>
        <w:numPr>
          <w:ilvl w:val="0"/>
          <w:numId w:val="1002"/>
        </w:numPr>
        <w:pStyle w:val="Compact"/>
      </w:pPr>
      <w:r>
        <w:rPr>
          <w:bCs/>
          <w:b/>
        </w:rPr>
        <w:t xml:space="preserve">Data Acquisition System:</w:t>
      </w:r>
      <w:r>
        <w:t xml:space="preserve"> </w:t>
      </w:r>
      <w:r>
        <w:t xml:space="preserve">A synchronized system to log all variables including voltage, current, frequency, and power factor.</w:t>
      </w:r>
    </w:p>
    <w:bookmarkEnd w:id="23"/>
    <w:bookmarkStart w:id="28" w:name="experimental-procedure"/>
    <w:p>
      <w:pPr>
        <w:pStyle w:val="Heading2"/>
      </w:pPr>
      <w:r>
        <w:t xml:space="preserve">5. Experimental Procedure</w:t>
      </w:r>
    </w:p>
    <w:p>
      <w:pPr>
        <w:pStyle w:val="FirstParagraph"/>
      </w:pPr>
      <w:r>
        <w:t xml:space="preserve">The Electrical Engineer in charge must follow these steps sequentially. Deviations from this protocol require written approval from the project manager.</w:t>
      </w:r>
    </w:p>
    <w:bookmarkStart w:id="24" w:name="pre-experiment-setup"/>
    <w:p>
      <w:pPr>
        <w:pStyle w:val="Heading3"/>
      </w:pPr>
      <w:r>
        <w:t xml:space="preserve">5.1 Pre-Experiment Setup</w:t>
      </w:r>
    </w:p>
    <w:p>
      <w:pPr>
        <w:pStyle w:val="FirstParagraph"/>
      </w:pPr>
      <w:r>
        <w:t xml:space="preserve">First, verify that all equipment is calibrated and within its validity period. Connect the instrumentation according to the schematic diagram provided in Appendix A. Ensure that the communication links between the protective relays and the data acquisition system are stable. Perform a visual inspection of the high-voltage bushings and insulation to ensure there is no contamination or damage.</w:t>
      </w:r>
    </w:p>
    <w:bookmarkEnd w:id="24"/>
    <w:bookmarkStart w:id="25" w:name="initialization"/>
    <w:p>
      <w:pPr>
        <w:pStyle w:val="Heading3"/>
      </w:pPr>
      <w:r>
        <w:t xml:space="preserve">5.2 Initialization</w:t>
      </w:r>
    </w:p>
    <w:p>
      <w:pPr>
        <w:pStyle w:val="FirstParagraph"/>
      </w:pPr>
      <w:r>
        <w:t xml:space="preserve">Power up the control systems and initialize the software interfaces. Set the initial voltage level to 63kV and the frequency to 50Hz, which are the standard parameters for the French transmission grid. Monitor the system for five minutes to ensure stability before proceeding.</w:t>
      </w:r>
    </w:p>
    <w:bookmarkEnd w:id="25"/>
    <w:bookmarkStart w:id="26" w:name="fault-injection"/>
    <w:p>
      <w:pPr>
        <w:pStyle w:val="Heading3"/>
      </w:pPr>
      <w:r>
        <w:t xml:space="preserve">5.3 Fault Injection</w:t>
      </w:r>
    </w:p>
    <w:p>
      <w:pPr>
        <w:pStyle w:val="FirstParagraph"/>
      </w:pPr>
      <w:r>
        <w:t xml:space="preserve">Once the system is stable, the Electrical Engineer will initiate the fault simulation. A three-phase short-circuit will be applied at the designated test point for a duration of 100 milliseconds. This duration is chosen to mimic the clearing time of modern circuit breakers used in Lyon's infrastructure. During this phase, the engineer must monitor the DFR to ensure data capture is active.</w:t>
      </w:r>
    </w:p>
    <w:bookmarkEnd w:id="26"/>
    <w:bookmarkStart w:id="27" w:name="post-fault-analysis"/>
    <w:p>
      <w:pPr>
        <w:pStyle w:val="Heading3"/>
      </w:pPr>
      <w:r>
        <w:t xml:space="preserve">5.4 Post-Fault Analysis</w:t>
      </w:r>
    </w:p>
    <w:p>
      <w:pPr>
        <w:pStyle w:val="FirstParagraph"/>
      </w:pPr>
      <w:r>
        <w:t xml:space="preserve">Immediately after the fault is cleared, observe the voltage recovery profile. Record the time it takes for the voltage to return to within 5% of the nominal value. Analyze the relay operation logs to verify that the tripping logic was executed correctly and within the specified time limits.</w:t>
      </w:r>
    </w:p>
    <w:bookmarkEnd w:id="27"/>
    <w:bookmarkEnd w:id="28"/>
    <w:bookmarkStart w:id="29" w:name="data-analysis-and-reporting"/>
    <w:p>
      <w:pPr>
        <w:pStyle w:val="Heading2"/>
      </w:pPr>
      <w:r>
        <w:t xml:space="preserve">6. Data Analysis and Reporting</w:t>
      </w:r>
    </w:p>
    <w:p>
      <w:pPr>
        <w:pStyle w:val="FirstParagraph"/>
      </w:pPr>
      <w:r>
        <w:t xml:space="preserve">All data collected during the experiment must be stored securely on the laboratory server. The Electrical Engineer is responsible for compiling a detailed report that includes:</w:t>
      </w:r>
    </w:p>
    <w:p>
      <w:pPr>
        <w:numPr>
          <w:ilvl w:val="0"/>
          <w:numId w:val="1003"/>
        </w:numPr>
        <w:pStyle w:val="Compact"/>
      </w:pPr>
      <w:r>
        <w:t xml:space="preserve">Waveform plots of voltage and current during the fault.</w:t>
      </w:r>
    </w:p>
    <w:p>
      <w:pPr>
        <w:numPr>
          <w:ilvl w:val="0"/>
          <w:numId w:val="1003"/>
        </w:numPr>
        <w:pStyle w:val="Compact"/>
      </w:pPr>
      <w:r>
        <w:t xml:space="preserve">A comparison of the observed relay response times against the design specifications.</w:t>
      </w:r>
    </w:p>
    <w:p>
      <w:pPr>
        <w:numPr>
          <w:ilvl w:val="0"/>
          <w:numId w:val="1003"/>
        </w:numPr>
        <w:pStyle w:val="Compact"/>
      </w:pPr>
      <w:r>
        <w:t xml:space="preserve">An assessment of the grid's stability margins.</w:t>
      </w:r>
    </w:p>
    <w:p>
      <w:pPr>
        <w:numPr>
          <w:ilvl w:val="0"/>
          <w:numId w:val="1003"/>
        </w:numPr>
        <w:pStyle w:val="Compact"/>
      </w:pPr>
      <w:r>
        <w:t xml:space="preserve">Recommendations for any necessary adjustments to the protection settings.</w:t>
      </w:r>
    </w:p>
    <w:p>
      <w:pPr>
        <w:pStyle w:val="FirstParagraph"/>
      </w:pPr>
      <w:r>
        <w:t xml:space="preserve">The final report will be submitted to the relevant stakeholders in Lyon and archived according to the company's quality management system.</w:t>
      </w:r>
    </w:p>
    <w:bookmarkEnd w:id="29"/>
    <w:bookmarkStart w:id="30" w:name="conclusion"/>
    <w:p>
      <w:pPr>
        <w:pStyle w:val="Heading2"/>
      </w:pPr>
      <w:r>
        <w:t xml:space="preserve">7. Conclusion</w:t>
      </w:r>
    </w:p>
    <w:p>
      <w:pPr>
        <w:pStyle w:val="FirstParagraph"/>
      </w:pPr>
      <w:r>
        <w:t xml:space="preserve">This Experiment Protocol provides a comprehensive framework for conducting high-voltage stability tests in a safe and controlled manner. By adhering to these guidelines, the Electrical Engineer ensures the integrity of the power system in France Lyon and contributes to the reliability of the national grid. Continuous improvement of these protocols is encouraged based on the findings of each experiment.</w:t>
      </w:r>
    </w:p>
    <w:p>
      <w:pPr>
        <w:pStyle w:val="BodyText"/>
      </w:pPr>
      <w:r>
        <w:rPr>
          <w:bCs/>
          <w:b/>
        </w:rPr>
        <w:t xml:space="preserve">Prepared by:</w:t>
      </w:r>
    </w:p>
    <w:p>
      <w:pPr>
        <w:pStyle w:val="BodyText"/>
      </w:pPr>
      <w:r>
        <w:t xml:space="preserve">Senior Electrical Engineer</w:t>
      </w:r>
    </w:p>
    <w:p>
      <w:pPr>
        <w:pStyle w:val="BodyText"/>
      </w:pPr>
      <w:r>
        <w:rPr>
          <w:bCs/>
          <w:b/>
        </w:rPr>
        <w:t xml:space="preserve">Approved by:</w:t>
      </w:r>
    </w:p>
    <w:p>
      <w:pPr>
        <w:pStyle w:val="BodyText"/>
      </w:pPr>
      <w:r>
        <w:t xml:space="preserve">Laboratory Director,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2026-10-10T01:04:10Z</dcterms:created>
  <dcterms:modified xsi:type="dcterms:W3CDTF">2026-10-10T01:04:10Z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