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Marseille, France</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detailed experiment protocol for the assessment of high-voltage grid stability in the Marseille region. As an Electrical Engineer operating within the regulatory framework of France, this protocol is designed to ensure the safe and accurate evaluation of power distribution systems. The primary objective is to analyze the transient response of the local grid under varying load conditions, specifically focusing on the integration of renewable energy sources in the Provence-Alpes-Côte d'Azur region.</w:t>
      </w:r>
    </w:p>
    <w:p>
      <w:pPr>
        <w:pStyle w:val="BodyText"/>
      </w:pPr>
      <w:r>
        <w:t xml:space="preserve">The experiment aims to validate the performance of new smart grid technologies deployed in Marseille, ensuring compliance with European Union directives and French national standards. By conducting this experiment, we seek to enhance the reliability of the electrical infrastructure, mitigate potential risks of blackouts, and optimize energy distribution efficiency.</w:t>
      </w:r>
    </w:p>
    <w:bookmarkEnd w:id="21"/>
    <w:bookmarkStart w:id="22" w:name="scope-and-regulatory-compliance"/>
    <w:p>
      <w:pPr>
        <w:pStyle w:val="Heading2"/>
      </w:pPr>
      <w:r>
        <w:t xml:space="preserve">2. Scope and Regulatory Compliance</w:t>
      </w:r>
    </w:p>
    <w:p>
      <w:pPr>
        <w:pStyle w:val="FirstParagraph"/>
      </w:pPr>
      <w:r>
        <w:t xml:space="preserve">This experiment protocol is strictly applicable to the high-voltage substations located in Marseille, France. All procedures must adhere to the following regulatory frameworks:</w:t>
      </w:r>
    </w:p>
    <w:p>
      <w:pPr>
        <w:numPr>
          <w:ilvl w:val="0"/>
          <w:numId w:val="1001"/>
        </w:numPr>
        <w:pStyle w:val="Compact"/>
      </w:pPr>
      <w:r>
        <w:rPr>
          <w:bCs/>
          <w:b/>
        </w:rPr>
        <w:t xml:space="preserve">French Electrical Code (Code de la Construction et de l'Habitation):</w:t>
      </w:r>
      <w:r>
        <w:t xml:space="preserve"> </w:t>
      </w:r>
      <w:r>
        <w:t xml:space="preserve">Ensuring all safety measures meet national building and electrical standards.</w:t>
      </w:r>
    </w:p>
    <w:p>
      <w:pPr>
        <w:numPr>
          <w:ilvl w:val="0"/>
          <w:numId w:val="1001"/>
        </w:numPr>
        <w:pStyle w:val="Compact"/>
      </w:pPr>
      <w:r>
        <w:rPr>
          <w:bCs/>
          <w:b/>
        </w:rPr>
        <w:t xml:space="preserve">European Standard EN 50160:</w:t>
      </w:r>
      <w:r>
        <w:t xml:space="preserve"> </w:t>
      </w:r>
      <w:r>
        <w:t xml:space="preserve">Voltage characteristics of electricity supplied by public distribution systems.</w:t>
      </w:r>
    </w:p>
    <w:p>
      <w:pPr>
        <w:numPr>
          <w:ilvl w:val="0"/>
          <w:numId w:val="1001"/>
        </w:numPr>
        <w:pStyle w:val="Compact"/>
      </w:pPr>
      <w:r>
        <w:rPr>
          <w:bCs/>
          <w:b/>
        </w:rPr>
        <w:t xml:space="preserve">RTE (Réseau de Transport d'Électricité) Guidelines:</w:t>
      </w:r>
      <w:r>
        <w:t xml:space="preserve"> </w:t>
      </w:r>
      <w:r>
        <w:t xml:space="preserve">Specific operational protocols for the French transmission network.</w:t>
      </w:r>
    </w:p>
    <w:p>
      <w:pPr>
        <w:pStyle w:val="FirstParagraph"/>
      </w:pPr>
      <w:r>
        <w:t xml:space="preserve">The Electrical Engineer responsible for this experiment must ensure that all activities are conducted within the legal boundaries set by these regulations, prioritizing public safety and environmental protection.</w:t>
      </w:r>
    </w:p>
    <w:bookmarkEnd w:id="22"/>
    <w:bookmarkStart w:id="23" w:name="equipment-and-materials"/>
    <w:p>
      <w:pPr>
        <w:pStyle w:val="Heading2"/>
      </w:pPr>
      <w:r>
        <w:t xml:space="preserve">3. Equipment and Materials</w:t>
      </w:r>
    </w:p>
    <w:p>
      <w:pPr>
        <w:pStyle w:val="FirstParagraph"/>
      </w:pPr>
      <w:r>
        <w:t xml:space="preserve">The following equipment is required for the successful execution of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Class A, compliant with IEC 61000-4-30</w:t>
            </w:r>
          </w:p>
        </w:tc>
        <w:tc>
          <w:tcPr/>
          <w:p>
            <w:pPr>
              <w:pStyle w:val="Compact"/>
              <w:jc w:val="left"/>
            </w:pPr>
            <w:r>
              <w:t xml:space="preserve">2</w:t>
            </w:r>
          </w:p>
        </w:tc>
      </w:tr>
      <w:tr>
        <w:tc>
          <w:tcPr/>
          <w:p>
            <w:pPr>
              <w:pStyle w:val="Compact"/>
              <w:jc w:val="left"/>
            </w:pPr>
            <w:r>
              <w:t xml:space="preserve">High-Voltage Insulated Tools</w:t>
            </w:r>
          </w:p>
        </w:tc>
        <w:tc>
          <w:tcPr/>
          <w:p>
            <w:pPr>
              <w:pStyle w:val="Compact"/>
              <w:jc w:val="left"/>
            </w:pPr>
            <w:r>
              <w:t xml:space="preserve">Rated for 20kV</w:t>
            </w:r>
          </w:p>
        </w:tc>
        <w:tc>
          <w:tcPr/>
          <w:p>
            <w:pPr>
              <w:pStyle w:val="Compact"/>
              <w:jc w:val="left"/>
            </w:pPr>
            <w:r>
              <w:t xml:space="preserve">1 Set</w:t>
            </w:r>
          </w:p>
        </w:tc>
      </w:tr>
      <w:tr>
        <w:tc>
          <w:tcPr/>
          <w:p>
            <w:pPr>
              <w:pStyle w:val="Compact"/>
              <w:jc w:val="left"/>
            </w:pPr>
            <w:r>
              <w:t xml:space="preserve">Personal Protective Equipment (PPE)</w:t>
            </w:r>
          </w:p>
        </w:tc>
        <w:tc>
          <w:tcPr/>
          <w:p>
            <w:pPr>
              <w:pStyle w:val="Compact"/>
              <w:jc w:val="left"/>
            </w:pPr>
            <w:r>
              <w:t xml:space="preserve">Dielectric gloves, arc-flash suit, safety boots</w:t>
            </w:r>
          </w:p>
        </w:tc>
        <w:tc>
          <w:tcPr/>
          <w:p>
            <w:pPr>
              <w:pStyle w:val="Compact"/>
              <w:jc w:val="left"/>
            </w:pPr>
            <w:r>
              <w:t xml:space="preserve">3 Sets</w:t>
            </w:r>
          </w:p>
        </w:tc>
      </w:tr>
      <w:tr>
        <w:tc>
          <w:tcPr/>
          <w:p>
            <w:pPr>
              <w:pStyle w:val="Compact"/>
              <w:jc w:val="left"/>
            </w:pPr>
            <w:r>
              <w:t xml:space="preserve">Data Acquisition System</w:t>
            </w:r>
          </w:p>
        </w:tc>
        <w:tc>
          <w:tcPr/>
          <w:p>
            <w:pPr>
              <w:pStyle w:val="Compact"/>
              <w:jc w:val="left"/>
            </w:pPr>
            <w:r>
              <w:t xml:space="preserve">High-speed sampling rate, synchronized with GPS</w:t>
            </w:r>
          </w:p>
        </w:tc>
        <w:tc>
          <w:tcPr/>
          <w:p>
            <w:pPr>
              <w:pStyle w:val="Compact"/>
              <w:jc w:val="left"/>
            </w:pPr>
            <w:r>
              <w:t xml:space="preserve">1</w:t>
            </w:r>
          </w:p>
        </w:tc>
      </w:tr>
      <w:tr>
        <w:tc>
          <w:tcPr/>
          <w:p>
            <w:pPr>
              <w:pStyle w:val="Compact"/>
              <w:jc w:val="left"/>
            </w:pPr>
            <w:r>
              <w:t xml:space="preserve">Load Bank</w:t>
            </w:r>
          </w:p>
        </w:tc>
        <w:tc>
          <w:tcPr/>
          <w:p>
            <w:pPr>
              <w:pStyle w:val="Compact"/>
              <w:jc w:val="left"/>
            </w:pPr>
            <w:r>
              <w:t xml:space="preserve">Variable resistance, up to 500kW</w:t>
            </w:r>
          </w:p>
        </w:tc>
        <w:tc>
          <w:tcPr/>
          <w:p>
            <w:pPr>
              <w:pStyle w:val="Compact"/>
              <w:jc w:val="left"/>
            </w:pPr>
            <w:r>
              <w:t xml:space="preserve">1</w:t>
            </w:r>
          </w:p>
        </w:tc>
      </w:tr>
    </w:tbl>
    <w:bookmarkEnd w:id="23"/>
    <w:bookmarkStart w:id="24" w:name="safety-procedures"/>
    <w:p>
      <w:pPr>
        <w:pStyle w:val="Heading2"/>
      </w:pPr>
      <w:r>
        <w:t xml:space="preserve">4. Safety Procedures</w:t>
      </w:r>
    </w:p>
    <w:p>
      <w:pPr>
        <w:pStyle w:val="FirstParagraph"/>
      </w:pPr>
      <w:r>
        <w:t xml:space="preserve">Safety is paramount in this experiment protocol. The Electrical Engineer must adhere to the following safety measures:</w:t>
      </w:r>
    </w:p>
    <w:p>
      <w:pPr>
        <w:numPr>
          <w:ilvl w:val="0"/>
          <w:numId w:val="1002"/>
        </w:numPr>
        <w:pStyle w:val="Compact"/>
      </w:pPr>
      <w:r>
        <w:rPr>
          <w:bCs/>
          <w:b/>
        </w:rPr>
        <w:t xml:space="preserve">Lockout/Tagout (LOTO):</w:t>
      </w:r>
      <w:r>
        <w:t xml:space="preserve"> </w:t>
      </w:r>
      <w:r>
        <w:t xml:space="preserve">Implement strict LOTO procedures to prevent accidental energization of equipment during maintenance or testing.</w:t>
      </w:r>
    </w:p>
    <w:p>
      <w:pPr>
        <w:numPr>
          <w:ilvl w:val="0"/>
          <w:numId w:val="1002"/>
        </w:numPr>
        <w:pStyle w:val="Compact"/>
      </w:pPr>
      <w:r>
        <w:rPr>
          <w:bCs/>
          <w:b/>
        </w:rPr>
        <w:t xml:space="preserve">Permit to Work:</w:t>
      </w:r>
      <w:r>
        <w:t xml:space="preserve"> </w:t>
      </w:r>
      <w:r>
        <w:t xml:space="preserve">Obtain all necessary permits from the local authority in Marseille before commencing any work on the grid.</w:t>
      </w:r>
    </w:p>
    <w:p>
      <w:pPr>
        <w:numPr>
          <w:ilvl w:val="0"/>
          <w:numId w:val="1002"/>
        </w:numPr>
        <w:pStyle w:val="Compact"/>
      </w:pPr>
      <w:r>
        <w:rPr>
          <w:bCs/>
          <w:b/>
        </w:rPr>
        <w:t xml:space="preserve">Emergency Response:</w:t>
      </w:r>
      <w:r>
        <w:t xml:space="preserve"> </w:t>
      </w:r>
      <w:r>
        <w:t xml:space="preserve">Ensure that all team members are trained in emergency response procedures, including first aid and fire safety.</w:t>
      </w:r>
    </w:p>
    <w:p>
      <w:pPr>
        <w:numPr>
          <w:ilvl w:val="0"/>
          <w:numId w:val="1002"/>
        </w:numPr>
        <w:pStyle w:val="Compact"/>
      </w:pPr>
      <w:r>
        <w:rPr>
          <w:bCs/>
          <w:b/>
        </w:rPr>
        <w:t xml:space="preserve">Environmental Considerations:</w:t>
      </w:r>
      <w:r>
        <w:t xml:space="preserve"> </w:t>
      </w:r>
      <w:r>
        <w:t xml:space="preserve">Minimize the environmental impact of the experiment by using eco-friendly materials and disposing of waste according to French regulations.</w:t>
      </w:r>
    </w:p>
    <w:bookmarkEnd w:id="24"/>
    <w:bookmarkStart w:id="28" w:name="experimental-procedure"/>
    <w:p>
      <w:pPr>
        <w:pStyle w:val="Heading2"/>
      </w:pPr>
      <w:r>
        <w:t xml:space="preserve">5. Experimental Procedure</w:t>
      </w:r>
    </w:p>
    <w:p>
      <w:pPr>
        <w:pStyle w:val="FirstParagraph"/>
      </w:pPr>
      <w:r>
        <w:t xml:space="preserve">The experiment will be conducted in three phases:</w:t>
      </w:r>
    </w:p>
    <w:bookmarkStart w:id="25" w:name="phase-1-baseline-measurement"/>
    <w:p>
      <w:pPr>
        <w:pStyle w:val="Heading3"/>
      </w:pPr>
      <w:r>
        <w:t xml:space="preserve">Phase 1: Baseline Measurement</w:t>
      </w:r>
    </w:p>
    <w:p>
      <w:pPr>
        <w:pStyle w:val="FirstParagraph"/>
      </w:pPr>
      <w:r>
        <w:t xml:space="preserve">Record the baseline voltage, current, and power quality parameters of the grid under normal operating conditions. This data will serve as a reference for subsequent analysis.</w:t>
      </w:r>
    </w:p>
    <w:bookmarkEnd w:id="25"/>
    <w:bookmarkStart w:id="26" w:name="phase-2-load-variation"/>
    <w:p>
      <w:pPr>
        <w:pStyle w:val="Heading3"/>
      </w:pPr>
      <w:r>
        <w:t xml:space="preserve">Phase 2: Load Variation</w:t>
      </w:r>
    </w:p>
    <w:p>
      <w:pPr>
        <w:pStyle w:val="FirstParagraph"/>
      </w:pPr>
      <w:r>
        <w:t xml:space="preserve">Introduce controlled load variations using the load bank to simulate peak demand scenarios. Monitor the grid's response in real-time, focusing on voltage stability and frequency deviations.</w:t>
      </w:r>
    </w:p>
    <w:bookmarkEnd w:id="26"/>
    <w:bookmarkStart w:id="27" w:name="phase-3-renewable-integration"/>
    <w:p>
      <w:pPr>
        <w:pStyle w:val="Heading3"/>
      </w:pPr>
      <w:r>
        <w:t xml:space="preserve">Phase 3: Renewable Integration</w:t>
      </w:r>
    </w:p>
    <w:p>
      <w:pPr>
        <w:pStyle w:val="FirstParagraph"/>
      </w:pPr>
      <w:r>
        <w:t xml:space="preserve">Simulate the integration of renewable energy sources by adjusting the input parameters to reflect solar and wind power fluctuations. Analyze the grid's ability to maintain stability under these conditions.</w:t>
      </w:r>
    </w:p>
    <w:bookmarkEnd w:id="27"/>
    <w:bookmarkEnd w:id="28"/>
    <w:bookmarkStart w:id="29" w:name="data-analysis-and-reporting"/>
    <w:p>
      <w:pPr>
        <w:pStyle w:val="Heading2"/>
      </w:pPr>
      <w:r>
        <w:t xml:space="preserve">6. Data Analysis and Reporting</w:t>
      </w:r>
    </w:p>
    <w:p>
      <w:pPr>
        <w:pStyle w:val="FirstParagraph"/>
      </w:pPr>
      <w:r>
        <w:t xml:space="preserve">All data collected during the experiment will be analyzed using specialized software tools. The Electrical Engineer must prepare a comprehensive report detailing the findings, including:</w:t>
      </w:r>
    </w:p>
    <w:p>
      <w:pPr>
        <w:numPr>
          <w:ilvl w:val="0"/>
          <w:numId w:val="1003"/>
        </w:numPr>
        <w:pStyle w:val="Compact"/>
      </w:pPr>
      <w:r>
        <w:t xml:space="preserve">Summary of experimental conditions and procedures.</w:t>
      </w:r>
    </w:p>
    <w:p>
      <w:pPr>
        <w:numPr>
          <w:ilvl w:val="0"/>
          <w:numId w:val="1003"/>
        </w:numPr>
        <w:pStyle w:val="Compact"/>
      </w:pPr>
      <w:r>
        <w:t xml:space="preserve">Analysis of voltage and frequency stability.</w:t>
      </w:r>
    </w:p>
    <w:p>
      <w:pPr>
        <w:numPr>
          <w:ilvl w:val="0"/>
          <w:numId w:val="1003"/>
        </w:numPr>
        <w:pStyle w:val="Compact"/>
      </w:pPr>
      <w:r>
        <w:t xml:space="preserve">Identification of any anomalies or areas for improvement.</w:t>
      </w:r>
    </w:p>
    <w:p>
      <w:pPr>
        <w:numPr>
          <w:ilvl w:val="0"/>
          <w:numId w:val="1003"/>
        </w:numPr>
        <w:pStyle w:val="Compact"/>
      </w:pPr>
      <w:r>
        <w:t xml:space="preserve">Recommendations for enhancing grid reliability and efficiency.</w:t>
      </w:r>
    </w:p>
    <w:p>
      <w:pPr>
        <w:pStyle w:val="FirstParagraph"/>
      </w:pPr>
      <w:r>
        <w:t xml:space="preserve">The report must be submitted to the relevant stakeholders in Marseille, France, within two weeks of the experiment's completion.</w:t>
      </w:r>
    </w:p>
    <w:bookmarkEnd w:id="29"/>
    <w:bookmarkStart w:id="30" w:name="conclusion"/>
    <w:p>
      <w:pPr>
        <w:pStyle w:val="Heading2"/>
      </w:pPr>
      <w:r>
        <w:t xml:space="preserve">7. Conclusion</w:t>
      </w:r>
    </w:p>
    <w:p>
      <w:pPr>
        <w:pStyle w:val="FirstParagraph"/>
      </w:pPr>
      <w:r>
        <w:t xml:space="preserve">This experiment protocol provides a structured approach for the Electrical Engineer to assess and improve the high-voltage grid stability in Marseille, France. By adhering to the outlined procedures and regulatory requirements, we aim to ensure the safe and efficient operation of the electrical infrastructure, contributing to the overall resilience of the power system in the region.</w:t>
      </w:r>
    </w:p>
    <w:bookmarkEnd w:id="30"/>
    <w:p>
      <w:pPr>
        <w:pStyle w:val="BodyText"/>
      </w:pPr>
      <w:r>
        <w:t xml:space="preserve">Document prepared by: [Electrical Engineer's Name]</w:t>
      </w:r>
    </w:p>
    <w:p>
      <w:pPr>
        <w:pStyle w:val="BodyText"/>
      </w:pPr>
      <w:r>
        <w:t xml:space="preserve">Approved by: [Supervisor's Name]</w:t>
      </w:r>
    </w:p>
    <w:p>
      <w:pPr>
        <w:pStyle w:val="BodyText"/>
      </w:pPr>
      <w:r>
        <w:t xml:space="preserve">Location: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2026-10-10T02:09:27Z</dcterms:created>
  <dcterms:modified xsi:type="dcterms:W3CDTF">2026-10-10T02:09:27Z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