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Grid</w:t>
      </w:r>
      <w:r>
        <w:t xml:space="preserve"> </w:t>
      </w:r>
      <w:r>
        <w:t xml:space="preserve">Stability</w:t>
      </w:r>
      <w:r>
        <w:t xml:space="preserve"> </w:t>
      </w:r>
      <w:r>
        <w:t xml:space="preserve">Analysis</w:t>
      </w:r>
    </w:p>
    <w:bookmarkStart w:id="20" w:name="X10d4ab0716bcba8a921d5d37d4b193e819eedaa"/>
    <w:p>
      <w:pPr>
        <w:pStyle w:val="Heading1"/>
      </w:pPr>
      <w:r>
        <w:t xml:space="preserve">Experiment Protocol: High-Voltage Grid Stability Analysis</w:t>
      </w:r>
    </w:p>
    <w:p>
      <w:pPr>
        <w:pStyle w:val="FirstParagraph"/>
      </w:pPr>
      <w:r>
        <w:rPr>
          <w:bCs/>
          <w:b/>
        </w:rPr>
        <w:t xml:space="preserve">Location:</w:t>
      </w:r>
      <w:r>
        <w:t xml:space="preserve"> </w:t>
      </w:r>
      <w:r>
        <w:t xml:space="preserve">Paris, France</w:t>
      </w:r>
    </w:p>
    <w:p>
      <w:pPr>
        <w:pStyle w:val="BodyText"/>
      </w:pPr>
      <w:r>
        <w:rPr>
          <w:bCs/>
          <w:b/>
        </w:rPr>
        <w:t xml:space="preserve">Prepared by:</w:t>
      </w:r>
      <w:r>
        <w:t xml:space="preserve"> </w:t>
      </w:r>
      <w:r>
        <w:t xml:space="preserve">Lead Electrical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 detailed experiment protocol for assessing the stability and performance of high-voltage electrical grids in the Paris metropolitan area. The primary objective is to evaluate the grid's resilience against fluctuating loads and potential faults, ensuring compliance with French and European electrical standards. This protocol is designed to be executed by qualified electrical engineers with expertise in power systems and grid management.</w:t>
      </w:r>
    </w:p>
    <w:bookmarkEnd w:id="21"/>
    <w:bookmarkStart w:id="22" w:name="objectives"/>
    <w:p>
      <w:pPr>
        <w:pStyle w:val="Heading2"/>
      </w:pPr>
      <w:r>
        <w:t xml:space="preserve">2. Objectives</w:t>
      </w:r>
    </w:p>
    <w:p>
      <w:pPr>
        <w:numPr>
          <w:ilvl w:val="0"/>
          <w:numId w:val="1001"/>
        </w:numPr>
        <w:pStyle w:val="Compact"/>
      </w:pPr>
      <w:r>
        <w:t xml:space="preserve">Assess the stability of the high-voltage grid under varying load conditions.</w:t>
      </w:r>
    </w:p>
    <w:p>
      <w:pPr>
        <w:numPr>
          <w:ilvl w:val="0"/>
          <w:numId w:val="1001"/>
        </w:numPr>
        <w:pStyle w:val="Compact"/>
      </w:pPr>
      <w:r>
        <w:t xml:space="preserve">Identify potential vulnerabilities and fault points within the grid infrastructure.</w:t>
      </w:r>
    </w:p>
    <w:p>
      <w:pPr>
        <w:numPr>
          <w:ilvl w:val="0"/>
          <w:numId w:val="1001"/>
        </w:numPr>
        <w:pStyle w:val="Compact"/>
      </w:pPr>
      <w:r>
        <w:t xml:space="preserve">Ensure compliance with French electrical regulations and European Union standards.</w:t>
      </w:r>
    </w:p>
    <w:p>
      <w:pPr>
        <w:numPr>
          <w:ilvl w:val="0"/>
          <w:numId w:val="1001"/>
        </w:numPr>
        <w:pStyle w:val="Compact"/>
      </w:pPr>
      <w:r>
        <w:t xml:space="preserve">Provide recommendations for enhancing grid reliability and efficiency.</w:t>
      </w:r>
    </w:p>
    <w:bookmarkEnd w:id="22"/>
    <w:bookmarkStart w:id="23" w:name="scope"/>
    <w:p>
      <w:pPr>
        <w:pStyle w:val="Heading2"/>
      </w:pPr>
      <w:r>
        <w:t xml:space="preserve">3. Scope</w:t>
      </w:r>
    </w:p>
    <w:p>
      <w:pPr>
        <w:pStyle w:val="FirstParagraph"/>
      </w:pPr>
      <w:r>
        <w:t xml:space="preserve">The scope of this experiment includes the following areas within Paris, France:</w:t>
      </w:r>
    </w:p>
    <w:p>
      <w:pPr>
        <w:numPr>
          <w:ilvl w:val="0"/>
          <w:numId w:val="1002"/>
        </w:numPr>
        <w:pStyle w:val="Compact"/>
      </w:pPr>
      <w:r>
        <w:t xml:space="preserve">High-voltage substations located in the northern and southern districts of Paris.</w:t>
      </w:r>
    </w:p>
    <w:p>
      <w:pPr>
        <w:numPr>
          <w:ilvl w:val="0"/>
          <w:numId w:val="1002"/>
        </w:numPr>
        <w:pStyle w:val="Compact"/>
      </w:pPr>
      <w:r>
        <w:t xml:space="preserve">Transmission lines connecting these substations to the national grid.</w:t>
      </w:r>
    </w:p>
    <w:p>
      <w:pPr>
        <w:numPr>
          <w:ilvl w:val="0"/>
          <w:numId w:val="1002"/>
        </w:numPr>
        <w:pStyle w:val="Compact"/>
      </w:pPr>
      <w:r>
        <w:t xml:space="preserve">Distribution networks supplying power to residential and commercial areas.</w:t>
      </w:r>
    </w:p>
    <w:bookmarkEnd w:id="23"/>
    <w:bookmarkStart w:id="26" w:name="methodology"/>
    <w:p>
      <w:pPr>
        <w:pStyle w:val="Heading2"/>
      </w:pPr>
      <w:r>
        <w:t xml:space="preserve">4. Methodology</w:t>
      </w:r>
    </w:p>
    <w:bookmarkStart w:id="24" w:name="equipment-and-tools"/>
    <w:p>
      <w:pPr>
        <w:pStyle w:val="Heading3"/>
      </w:pPr>
      <w:r>
        <w:t xml:space="preserve">4.1 Equipment and Tools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Power Quality Analyzer</w:t>
            </w:r>
          </w:p>
        </w:tc>
        <w:tc>
          <w:tcPr/>
          <w:p>
            <w:pPr>
              <w:pStyle w:val="Compact"/>
              <w:jc w:val="left"/>
            </w:pPr>
            <w:r>
              <w:t xml:space="preserve">For measuring voltage, current, and power quality parameters.</w:t>
            </w:r>
          </w:p>
        </w:tc>
        <w:tc>
          <w:tcPr/>
          <w:p>
            <w:pPr>
              <w:pStyle w:val="Compact"/>
              <w:jc w:val="left"/>
            </w:pPr>
            <w:r>
              <w:t xml:space="preserve">5</w:t>
            </w:r>
          </w:p>
        </w:tc>
      </w:tr>
      <w:tr>
        <w:tc>
          <w:tcPr/>
          <w:p>
            <w:pPr>
              <w:pStyle w:val="Compact"/>
              <w:jc w:val="left"/>
            </w:pPr>
            <w:r>
              <w:t xml:space="preserve">Thermal Imaging Camera</w:t>
            </w:r>
          </w:p>
        </w:tc>
        <w:tc>
          <w:tcPr/>
          <w:p>
            <w:pPr>
              <w:pStyle w:val="Compact"/>
              <w:jc w:val="left"/>
            </w:pPr>
            <w:r>
              <w:t xml:space="preserve">For detecting overheating components.</w:t>
            </w:r>
          </w:p>
        </w:tc>
        <w:tc>
          <w:tcPr/>
          <w:p>
            <w:pPr>
              <w:pStyle w:val="Compact"/>
              <w:jc w:val="left"/>
            </w:pPr>
            <w:r>
              <w:t xml:space="preserve">3</w:t>
            </w:r>
          </w:p>
        </w:tc>
      </w:tr>
      <w:tr>
        <w:tc>
          <w:tcPr/>
          <w:p>
            <w:pPr>
              <w:pStyle w:val="Compact"/>
              <w:jc w:val="left"/>
            </w:pPr>
            <w:r>
              <w:t xml:space="preserve">Insulation Resistance Tester</w:t>
            </w:r>
          </w:p>
        </w:tc>
        <w:tc>
          <w:tcPr/>
          <w:p>
            <w:pPr>
              <w:pStyle w:val="Compact"/>
              <w:jc w:val="left"/>
            </w:pPr>
            <w:r>
              <w:t xml:space="preserve">For assessing the integrity of insulation materials.</w:t>
            </w:r>
          </w:p>
        </w:tc>
        <w:tc>
          <w:tcPr/>
          <w:p>
            <w:pPr>
              <w:pStyle w:val="Compact"/>
              <w:jc w:val="left"/>
            </w:pPr>
            <w:r>
              <w:t xml:space="preserve">4</w:t>
            </w:r>
          </w:p>
        </w:tc>
      </w:tr>
      <w:tr>
        <w:tc>
          <w:tcPr/>
          <w:p>
            <w:pPr>
              <w:pStyle w:val="Compact"/>
              <w:jc w:val="left"/>
            </w:pPr>
            <w:r>
              <w:t xml:space="preserve">Portable Oscilloscope</w:t>
            </w:r>
          </w:p>
        </w:tc>
        <w:tc>
          <w:tcPr/>
          <w:p>
            <w:pPr>
              <w:pStyle w:val="Compact"/>
              <w:jc w:val="left"/>
            </w:pPr>
            <w:r>
              <w:t xml:space="preserve">For capturing transient events and waveforms.</w:t>
            </w:r>
          </w:p>
        </w:tc>
        <w:tc>
          <w:tcPr/>
          <w:p>
            <w:pPr>
              <w:pStyle w:val="Compact"/>
              <w:jc w:val="left"/>
            </w:pPr>
            <w:r>
              <w:t xml:space="preserve">2</w:t>
            </w:r>
          </w:p>
        </w:tc>
      </w:tr>
    </w:tbl>
    <w:bookmarkEnd w:id="24"/>
    <w:bookmarkStart w:id="25" w:name="procedure"/>
    <w:p>
      <w:pPr>
        <w:pStyle w:val="Heading3"/>
      </w:pPr>
      <w:r>
        <w:t xml:space="preserve">4.2 Procedure</w:t>
      </w:r>
    </w:p>
    <w:p>
      <w:pPr>
        <w:numPr>
          <w:ilvl w:val="0"/>
          <w:numId w:val="1003"/>
        </w:numPr>
        <w:pStyle w:val="Compact"/>
      </w:pPr>
      <w:r>
        <w:rPr>
          <w:bCs/>
          <w:b/>
        </w:rPr>
        <w:t xml:space="preserve">Site Preparation:</w:t>
      </w:r>
      <w:r>
        <w:t xml:space="preserve"> </w:t>
      </w:r>
      <w:r>
        <w:t xml:space="preserve">Ensure all safety protocols are in place. Notify relevant authorities and stakeholders about the upcoming tests.</w:t>
      </w:r>
    </w:p>
    <w:p>
      <w:pPr>
        <w:numPr>
          <w:ilvl w:val="0"/>
          <w:numId w:val="1003"/>
        </w:numPr>
        <w:pStyle w:val="Compact"/>
      </w:pPr>
      <w:r>
        <w:rPr>
          <w:bCs/>
          <w:b/>
        </w:rPr>
        <w:t xml:space="preserve">Baseline Measurements:</w:t>
      </w:r>
      <w:r>
        <w:t xml:space="preserve"> </w:t>
      </w:r>
      <w:r>
        <w:t xml:space="preserve">Conduct initial measurements of voltage, current, and power quality parameters under normal operating conditions.</w:t>
      </w:r>
    </w:p>
    <w:p>
      <w:pPr>
        <w:numPr>
          <w:ilvl w:val="0"/>
          <w:numId w:val="1003"/>
        </w:numPr>
        <w:pStyle w:val="Compact"/>
      </w:pPr>
      <w:r>
        <w:rPr>
          <w:bCs/>
          <w:b/>
        </w:rPr>
        <w:t xml:space="preserve">Load Variation Tests:</w:t>
      </w:r>
      <w:r>
        <w:t xml:space="preserve"> </w:t>
      </w:r>
      <w:r>
        <w:t xml:space="preserve">Gradually increase and decrease the load on selected sections of the grid to observe its response.</w:t>
      </w:r>
    </w:p>
    <w:p>
      <w:pPr>
        <w:numPr>
          <w:ilvl w:val="0"/>
          <w:numId w:val="1003"/>
        </w:numPr>
        <w:pStyle w:val="Compact"/>
      </w:pPr>
      <w:r>
        <w:rPr>
          <w:bCs/>
          <w:b/>
        </w:rPr>
        <w:t xml:space="preserve">Fault Simulation:</w:t>
      </w:r>
      <w:r>
        <w:t xml:space="preserve"> </w:t>
      </w:r>
      <w:r>
        <w:t xml:space="preserve">Simulate various fault conditions, such as short circuits and ground faults, to evaluate the grid's protective mechanisms.</w:t>
      </w:r>
    </w:p>
    <w:p>
      <w:pPr>
        <w:numPr>
          <w:ilvl w:val="0"/>
          <w:numId w:val="1003"/>
        </w:numPr>
        <w:pStyle w:val="Compact"/>
      </w:pPr>
      <w:r>
        <w:rPr>
          <w:bCs/>
          <w:b/>
        </w:rPr>
        <w:t xml:space="preserve">Data Collection:</w:t>
      </w:r>
      <w:r>
        <w:t xml:space="preserve"> </w:t>
      </w:r>
      <w:r>
        <w:t xml:space="preserve">Record all measurements and observations using the specified equipment.</w:t>
      </w:r>
    </w:p>
    <w:p>
      <w:pPr>
        <w:numPr>
          <w:ilvl w:val="0"/>
          <w:numId w:val="1003"/>
        </w:numPr>
        <w:pStyle w:val="Compact"/>
      </w:pPr>
      <w:r>
        <w:rPr>
          <w:bCs/>
          <w:b/>
        </w:rPr>
        <w:t xml:space="preserve">Analysis:</w:t>
      </w:r>
      <w:r>
        <w:t xml:space="preserve"> </w:t>
      </w:r>
      <w:r>
        <w:t xml:space="preserve">Analyze the collected data to identify any anomalies or areas of concern.</w:t>
      </w:r>
    </w:p>
    <w:bookmarkEnd w:id="25"/>
    <w:bookmarkEnd w:id="26"/>
    <w:bookmarkStart w:id="27" w:name="safety-considerations"/>
    <w:p>
      <w:pPr>
        <w:pStyle w:val="Heading2"/>
      </w:pPr>
      <w:r>
        <w:t xml:space="preserve">5. Safety Considerations</w:t>
      </w:r>
    </w:p>
    <w:p>
      <w:pPr>
        <w:pStyle w:val="FirstParagraph"/>
      </w:pPr>
      <w:r>
        <w:t xml:space="preserve">Safety is paramount during the execution of this experiment. The following measures must be strictly adhered to:</w:t>
      </w:r>
    </w:p>
    <w:p>
      <w:pPr>
        <w:numPr>
          <w:ilvl w:val="0"/>
          <w:numId w:val="1004"/>
        </w:numPr>
        <w:pStyle w:val="Compact"/>
      </w:pPr>
      <w:r>
        <w:t xml:space="preserve">All personnel must wear appropriate personal protective equipment (PPE), including insulated gloves, safety glasses, and hard hats.</w:t>
      </w:r>
    </w:p>
    <w:p>
      <w:pPr>
        <w:numPr>
          <w:ilvl w:val="0"/>
          <w:numId w:val="1004"/>
        </w:numPr>
        <w:pStyle w:val="Compact"/>
      </w:pPr>
      <w:r>
        <w:t xml:space="preserve">Ensure that all equipment is properly grounded and insulated.</w:t>
      </w:r>
    </w:p>
    <w:p>
      <w:pPr>
        <w:numPr>
          <w:ilvl w:val="0"/>
          <w:numId w:val="1004"/>
        </w:numPr>
        <w:pStyle w:val="Compact"/>
      </w:pPr>
      <w:r>
        <w:t xml:space="preserve">Maintain a safe distance from live components and high-voltage areas.</w:t>
      </w:r>
    </w:p>
    <w:p>
      <w:pPr>
        <w:numPr>
          <w:ilvl w:val="0"/>
          <w:numId w:val="1004"/>
        </w:numPr>
        <w:pStyle w:val="Compact"/>
      </w:pPr>
      <w:r>
        <w:t xml:space="preserve">Have emergency response plans in place, including access to first aid kits and emergency contacts.</w:t>
      </w:r>
    </w:p>
    <w:bookmarkEnd w:id="27"/>
    <w:bookmarkStart w:id="28" w:name="data-analysis-and-reporting"/>
    <w:p>
      <w:pPr>
        <w:pStyle w:val="Heading2"/>
      </w:pPr>
      <w:r>
        <w:t xml:space="preserve">6. Data Analysis and Reporting</w:t>
      </w:r>
    </w:p>
    <w:p>
      <w:pPr>
        <w:pStyle w:val="FirstParagraph"/>
      </w:pPr>
      <w:r>
        <w:t xml:space="preserve">Upon completion of the experiment, all data will be compiled and analyzed by the lead electrical engineer. The analysis will focus on identifying trends, anomalies, and areas for improvement. A comprehensive report will be generated, detailing the findings, conclusions, and recommendations. This report will be submitted to the relevant stakeholders in Paris, France, for review and action.</w:t>
      </w:r>
    </w:p>
    <w:bookmarkEnd w:id="28"/>
    <w:bookmarkStart w:id="29" w:name="conclusion"/>
    <w:p>
      <w:pPr>
        <w:pStyle w:val="Heading2"/>
      </w:pPr>
      <w:r>
        <w:t xml:space="preserve">7. Conclusion</w:t>
      </w:r>
    </w:p>
    <w:p>
      <w:pPr>
        <w:pStyle w:val="FirstParagraph"/>
      </w:pPr>
      <w:r>
        <w:t xml:space="preserve">This experiment protocol provides a structured approach to evaluating the stability and performance of high-voltage electrical grids in Paris, France. By following this protocol, electrical engineers can ensure that the grid operates safely and efficiently, meeting the needs of the city's residents and businesses while complying with all applicable regulations.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Grid Stability Analysis</dc:title>
  <dc:creator/>
  <dc:language>en</dc:language>
  <cp:keywords/>
  <dcterms:created xsi:type="dcterms:W3CDTF">2026-10-10T02:38:35Z</dcterms:created>
  <dcterms:modified xsi:type="dcterms:W3CDTF">2026-10-10T02:38:35Z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