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Engineering</w:t>
      </w:r>
      <w:r>
        <w:t xml:space="preserve"> </w:t>
      </w:r>
      <w:r>
        <w:t xml:space="preserve">Research</w:t>
      </w:r>
      <w:r>
        <w:t xml:space="preserve"> </w:t>
      </w:r>
      <w:r>
        <w:t xml:space="preserve">in</w:t>
      </w:r>
      <w:r>
        <w:t xml:space="preserve"> </w:t>
      </w:r>
      <w:r>
        <w:t xml:space="preserve">Berlin,</w:t>
      </w:r>
      <w:r>
        <w:t xml:space="preserve"> </w:t>
      </w:r>
      <w:r>
        <w:t xml:space="preserve">Germany</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High-Efficiency Power Conversion Systems for Urban Smart Grids</w:t>
      </w:r>
    </w:p>
    <w:p>
      <w:pPr>
        <w:pStyle w:val="BodyText"/>
      </w:pPr>
      <w:r>
        <w:rPr>
          <w:bCs/>
          <w:b/>
        </w:rPr>
        <w:t xml:space="preserve">Location:</w:t>
      </w:r>
      <w:r>
        <w:t xml:space="preserve"> </w:t>
      </w:r>
      <w:r>
        <w:t xml:space="preserve">Berlin, Germany</w:t>
      </w:r>
    </w:p>
    <w:p>
      <w:pPr>
        <w:pStyle w:val="BodyText"/>
      </w:pPr>
      <w:r>
        <w:rPr>
          <w:bCs/>
          <w:b/>
        </w:rPr>
        <w:t xml:space="preserve">Lead Electrical Engineer:</w:t>
      </w:r>
      <w:r>
        <w:t xml:space="preserve"> </w:t>
      </w:r>
      <w:r>
        <w:t xml:space="preserve">[Name of Electrical Engineer]</w:t>
      </w:r>
    </w:p>
    <w:p>
      <w:pPr>
        <w:pStyle w:val="BodyText"/>
      </w:pPr>
      <w:r>
        <w:rPr>
          <w:bCs/>
          <w:b/>
        </w:rPr>
        <w:t xml:space="preserve">Date:</w:t>
      </w:r>
      <w:r>
        <w:t xml:space="preserve"> </w:t>
      </w:r>
      <w:r>
        <w:t xml:space="preserve">[Insert Date]</w:t>
      </w:r>
    </w:p>
    <w:p>
      <w:pPr>
        <w:pStyle w:val="BodyText"/>
      </w:pPr>
      <w:r>
        <w:rPr>
          <w:bCs/>
          <w:b/>
        </w:rPr>
        <w:t xml:space="preserve">Protocol 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safety measures, and technical specifications for conducting experiments related to high-efficiency power conversion systems. The research is being conducted by a team of Electrical Engineers in Berlin, Germany, with the aim of optimizing energy distribution within urban smart grids. Berlin, as a rapidly growing technological hub in Germany, presents unique challenges and opportunities for integrating renewable energy sources into existing infrastructure. This protocol ensures that all experiments are conducted in compliance with German regulations, including those set by the Bundesnetzagentur (Federal Network Agency) and the VDE (Association for Electrical, Electronic &amp; Information Technologies).</w:t>
      </w:r>
    </w:p>
    <w:bookmarkEnd w:id="21"/>
    <w:bookmarkStart w:id="22" w:name="scope-of-the-experiment"/>
    <w:p>
      <w:pPr>
        <w:pStyle w:val="Heading2"/>
      </w:pPr>
      <w:r>
        <w:t xml:space="preserve">2. Scope of the Experiment</w:t>
      </w:r>
    </w:p>
    <w:p>
      <w:pPr>
        <w:pStyle w:val="FirstParagraph"/>
      </w:pPr>
      <w:r>
        <w:t xml:space="preserve">The scope of this experiment includes:</w:t>
      </w:r>
    </w:p>
    <w:p>
      <w:pPr>
        <w:numPr>
          <w:ilvl w:val="0"/>
          <w:numId w:val="1001"/>
        </w:numPr>
        <w:pStyle w:val="Compact"/>
      </w:pPr>
      <w:r>
        <w:t xml:space="preserve">Testing the performance of a novel power converter prototype under varying load conditions.</w:t>
      </w:r>
    </w:p>
    <w:p>
      <w:pPr>
        <w:numPr>
          <w:ilvl w:val="0"/>
          <w:numId w:val="1001"/>
        </w:numPr>
        <w:pStyle w:val="Compact"/>
      </w:pPr>
      <w:r>
        <w:t xml:space="preserve">Evaluating the system's efficiency and thermal management capabilities.</w:t>
      </w:r>
    </w:p>
    <w:p>
      <w:pPr>
        <w:numPr>
          <w:ilvl w:val="0"/>
          <w:numId w:val="1001"/>
        </w:numPr>
        <w:pStyle w:val="Compact"/>
      </w:pPr>
      <w:r>
        <w:t xml:space="preserve">Assessing the integration of the prototype with a simulated smart grid environment.</w:t>
      </w:r>
    </w:p>
    <w:p>
      <w:pPr>
        <w:numPr>
          <w:ilvl w:val="0"/>
          <w:numId w:val="1001"/>
        </w:numPr>
        <w:pStyle w:val="Compact"/>
      </w:pPr>
      <w:r>
        <w:t xml:space="preserve">Ensuring compliance with electromagnetic compatibility (EMC) standards as per EN 61000 series.</w:t>
      </w:r>
    </w:p>
    <w:p>
      <w:pPr>
        <w:pStyle w:val="FirstParagraph"/>
      </w:pPr>
      <w:r>
        <w:t xml:space="preserve">All experiments will be conducted in a controlled laboratory environment located in Berlin, Germany, to minimize external interference and ensure accurate data collection.</w:t>
      </w:r>
    </w:p>
    <w:bookmarkEnd w:id="22"/>
    <w:bookmarkStart w:id="23" w:name="equipment-and-materials"/>
    <w:p>
      <w:pPr>
        <w:pStyle w:val="Heading2"/>
      </w:pPr>
      <w:r>
        <w:t xml:space="preserve">3.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Power Converter Prototype</w:t>
            </w:r>
          </w:p>
        </w:tc>
        <w:tc>
          <w:tcPr/>
          <w:p>
            <w:pPr>
              <w:pStyle w:val="Compact"/>
              <w:jc w:val="left"/>
            </w:pPr>
            <w:r>
              <w:t xml:space="preserve">Custom-built, 10 kW capacity</w:t>
            </w:r>
          </w:p>
        </w:tc>
        <w:tc>
          <w:tcPr/>
          <w:p>
            <w:pPr>
              <w:pStyle w:val="Compact"/>
              <w:jc w:val="left"/>
            </w:pPr>
            <w:r>
              <w:t xml:space="preserve">1</w:t>
            </w:r>
          </w:p>
        </w:tc>
      </w:tr>
      <w:tr>
        <w:tc>
          <w:tcPr/>
          <w:p>
            <w:pPr>
              <w:pStyle w:val="Compact"/>
              <w:jc w:val="left"/>
            </w:pPr>
            <w:r>
              <w:t xml:space="preserve">Oscilloscope</w:t>
            </w:r>
          </w:p>
        </w:tc>
        <w:tc>
          <w:tcPr/>
          <w:p>
            <w:pPr>
              <w:pStyle w:val="Compact"/>
              <w:jc w:val="left"/>
            </w:pPr>
            <w:r>
              <w:t xml:space="preserve">High-bandwidth, 4-channel</w:t>
            </w:r>
          </w:p>
        </w:tc>
        <w:tc>
          <w:tcPr/>
          <w:p>
            <w:pPr>
              <w:pStyle w:val="Compact"/>
              <w:jc w:val="left"/>
            </w:pPr>
            <w:r>
              <w:t xml:space="preserve">2</w:t>
            </w:r>
          </w:p>
        </w:tc>
      </w:tr>
      <w:tr>
        <w:tc>
          <w:tcPr/>
          <w:p>
            <w:pPr>
              <w:pStyle w:val="Compact"/>
              <w:jc w:val="left"/>
            </w:pPr>
            <w:r>
              <w:t xml:space="preserve">Power Analyzer</w:t>
            </w:r>
          </w:p>
        </w:tc>
        <w:tc>
          <w:tcPr/>
          <w:p>
            <w:pPr>
              <w:pStyle w:val="Compact"/>
              <w:jc w:val="left"/>
            </w:pPr>
            <w:r>
              <w:t xml:space="preserve">Three-phase, precision grade</w:t>
            </w:r>
          </w:p>
        </w:tc>
        <w:tc>
          <w:tcPr/>
          <w:p>
            <w:pPr>
              <w:pStyle w:val="Compact"/>
              <w:jc w:val="left"/>
            </w:pPr>
            <w:r>
              <w:t xml:space="preserve">1</w:t>
            </w:r>
          </w:p>
        </w:tc>
      </w:tr>
      <w:tr>
        <w:tc>
          <w:tcPr/>
          <w:p>
            <w:pPr>
              <w:pStyle w:val="Compact"/>
              <w:jc w:val="left"/>
            </w:pPr>
            <w:r>
              <w:t xml:space="preserve">Thermal Imaging Camera</w:t>
            </w:r>
          </w:p>
        </w:tc>
        <w:tc>
          <w:tcPr/>
          <w:p>
            <w:pPr>
              <w:pStyle w:val="Compact"/>
              <w:jc w:val="left"/>
            </w:pPr>
            <w:r>
              <w:t xml:space="preserve">Infrared, high-resolution</w:t>
            </w:r>
          </w:p>
        </w:tc>
        <w:tc>
          <w:tcPr/>
          <w:p>
            <w:pPr>
              <w:pStyle w:val="Compact"/>
              <w:jc w:val="left"/>
            </w:pPr>
            <w:r>
              <w:t xml:space="preserve">1</w:t>
            </w:r>
          </w:p>
        </w:tc>
      </w:tr>
      <w:tr>
        <w:tc>
          <w:tcPr/>
          <w:p>
            <w:pPr>
              <w:pStyle w:val="Compact"/>
              <w:jc w:val="left"/>
            </w:pPr>
            <w:r>
              <w:t xml:space="preserve">Load Bank</w:t>
            </w:r>
          </w:p>
        </w:tc>
        <w:tc>
          <w:tcPr/>
          <w:p>
            <w:pPr>
              <w:pStyle w:val="Compact"/>
              <w:jc w:val="left"/>
            </w:pPr>
            <w:r>
              <w:t xml:space="preserve">Adjustable, up to 15 kW</w:t>
            </w:r>
          </w:p>
        </w:tc>
        <w:tc>
          <w:tcPr/>
          <w:p>
            <w:pPr>
              <w:pStyle w:val="Compact"/>
              <w:jc w:val="left"/>
            </w:pPr>
            <w:r>
              <w:t xml:space="preserve">1</w:t>
            </w:r>
          </w:p>
        </w:tc>
      </w:tr>
      <w:tr>
        <w:tc>
          <w:tcPr/>
          <w:p>
            <w:pPr>
              <w:pStyle w:val="Compact"/>
              <w:jc w:val="left"/>
            </w:pPr>
            <w:r>
              <w:t xml:space="preserve">EMC Test Chamber</w:t>
            </w:r>
          </w:p>
        </w:tc>
        <w:tc>
          <w:tcPr/>
          <w:p>
            <w:pPr>
              <w:pStyle w:val="Compact"/>
              <w:jc w:val="left"/>
            </w:pPr>
            <w:r>
              <w:t xml:space="preserve">Shielded, compliant with EN 61000</w:t>
            </w:r>
          </w:p>
        </w:tc>
        <w:tc>
          <w:tcPr/>
          <w:p>
            <w:pPr>
              <w:pStyle w:val="Compact"/>
              <w:jc w:val="left"/>
            </w:pPr>
            <w:r>
              <w:t xml:space="preserve">1</w:t>
            </w:r>
          </w:p>
        </w:tc>
      </w:tr>
    </w:tbl>
    <w:bookmarkEnd w:id="23"/>
    <w:bookmarkStart w:id="27" w:name="experimental-procedure"/>
    <w:p>
      <w:pPr>
        <w:pStyle w:val="Heading2"/>
      </w:pPr>
      <w:r>
        <w:t xml:space="preserve">4. Experimental Procedure</w:t>
      </w:r>
    </w:p>
    <w:bookmarkStart w:id="24" w:name="pre-experiment-checks"/>
    <w:p>
      <w:pPr>
        <w:pStyle w:val="Heading3"/>
      </w:pPr>
      <w:r>
        <w:t xml:space="preserve">4.1 Pre-Experiment Checks</w:t>
      </w:r>
    </w:p>
    <w:p>
      <w:pPr>
        <w:pStyle w:val="FirstParagraph"/>
      </w:pPr>
      <w:r>
        <w:t xml:space="preserve">Before initiating the experiment, the Electrical Engineer must perform the following checks:</w:t>
      </w:r>
    </w:p>
    <w:p>
      <w:pPr>
        <w:numPr>
          <w:ilvl w:val="0"/>
          <w:numId w:val="1002"/>
        </w:numPr>
        <w:pStyle w:val="Compact"/>
      </w:pPr>
      <w:r>
        <w:t xml:space="preserve">Verify that all equipment is calibrated and functioning correctly.</w:t>
      </w:r>
    </w:p>
    <w:p>
      <w:pPr>
        <w:numPr>
          <w:ilvl w:val="0"/>
          <w:numId w:val="1002"/>
        </w:numPr>
        <w:pStyle w:val="Compact"/>
      </w:pPr>
      <w:r>
        <w:t xml:space="preserve">Ensure that the laboratory environment meets the required temperature and humidity conditions.</w:t>
      </w:r>
    </w:p>
    <w:p>
      <w:pPr>
        <w:numPr>
          <w:ilvl w:val="0"/>
          <w:numId w:val="1002"/>
        </w:numPr>
        <w:pStyle w:val="Compact"/>
      </w:pPr>
      <w:r>
        <w:t xml:space="preserve">Confirm that all safety protocols, including emergency shutdown procedures, are in place.</w:t>
      </w:r>
    </w:p>
    <w:p>
      <w:pPr>
        <w:numPr>
          <w:ilvl w:val="0"/>
          <w:numId w:val="1002"/>
        </w:numPr>
        <w:pStyle w:val="Compact"/>
      </w:pPr>
      <w:r>
        <w:t xml:space="preserve">Review the experimental setup against the design specifications to identify any discrepancies.</w:t>
      </w:r>
    </w:p>
    <w:bookmarkEnd w:id="24"/>
    <w:bookmarkStart w:id="25" w:name="experiment-execution"/>
    <w:p>
      <w:pPr>
        <w:pStyle w:val="Heading3"/>
      </w:pPr>
      <w:r>
        <w:t xml:space="preserve">4.2 Experiment Execution</w:t>
      </w:r>
    </w:p>
    <w:p>
      <w:pPr>
        <w:pStyle w:val="FirstParagraph"/>
      </w:pPr>
      <w:r>
        <w:t xml:space="preserve">The experiment will proceed in the following stages:</w:t>
      </w:r>
    </w:p>
    <w:p>
      <w:pPr>
        <w:numPr>
          <w:ilvl w:val="0"/>
          <w:numId w:val="1003"/>
        </w:numPr>
        <w:pStyle w:val="Compact"/>
      </w:pPr>
      <w:r>
        <w:rPr>
          <w:bCs/>
          <w:b/>
        </w:rPr>
        <w:t xml:space="preserve">Stage 1: Baseline Testing</w:t>
      </w:r>
      <w:r>
        <w:br/>
      </w:r>
      <w:r>
        <w:t xml:space="preserve">Conduct initial tests with the power converter operating at no load to establish baseline performance metrics.</w:t>
      </w:r>
    </w:p>
    <w:p>
      <w:pPr>
        <w:numPr>
          <w:ilvl w:val="0"/>
          <w:numId w:val="1003"/>
        </w:numPr>
        <w:pStyle w:val="Compact"/>
      </w:pPr>
      <w:r>
        <w:rPr>
          <w:bCs/>
          <w:b/>
        </w:rPr>
        <w:t xml:space="preserve">Stage 2: Load Testing</w:t>
      </w:r>
      <w:r>
        <w:br/>
      </w:r>
      <w:r>
        <w:t xml:space="preserve">Gradually increase the load on the power converter in increments of 2 kW, up to the maximum capacity of 10 kW. Record efficiency, voltage regulation, and thermal performance at each step.</w:t>
      </w:r>
    </w:p>
    <w:p>
      <w:pPr>
        <w:numPr>
          <w:ilvl w:val="0"/>
          <w:numId w:val="1003"/>
        </w:numPr>
        <w:pStyle w:val="Compact"/>
      </w:pPr>
      <w:r>
        <w:rPr>
          <w:bCs/>
          <w:b/>
        </w:rPr>
        <w:t xml:space="preserve">Stage 3: Dynamic Load Testing</w:t>
      </w:r>
      <w:r>
        <w:br/>
      </w:r>
      <w:r>
        <w:t xml:space="preserve">Simulate real-world load variations by applying rapid changes in load demand. Evaluate the system's response time and stability.</w:t>
      </w:r>
    </w:p>
    <w:p>
      <w:pPr>
        <w:numPr>
          <w:ilvl w:val="0"/>
          <w:numId w:val="1003"/>
        </w:numPr>
        <w:pStyle w:val="Compact"/>
      </w:pPr>
      <w:r>
        <w:rPr>
          <w:bCs/>
          <w:b/>
        </w:rPr>
        <w:t xml:space="preserve">Stage 4: EMC Testing</w:t>
      </w:r>
      <w:r>
        <w:br/>
      </w:r>
      <w:r>
        <w:t xml:space="preserve">Perform electromagnetic compatibility tests within the shielded chamber to ensure compliance with EN 61000 standards.</w:t>
      </w:r>
    </w:p>
    <w:bookmarkEnd w:id="25"/>
    <w:bookmarkStart w:id="26" w:name="data-collection"/>
    <w:p>
      <w:pPr>
        <w:pStyle w:val="Heading3"/>
      </w:pPr>
      <w:r>
        <w:t xml:space="preserve">4.3 Data Collection</w:t>
      </w:r>
    </w:p>
    <w:p>
      <w:pPr>
        <w:pStyle w:val="FirstParagraph"/>
      </w:pPr>
      <w:r>
        <w:t xml:space="preserve">All data will be recorded using automated logging systems integrated with the oscilloscope and power analyzer. The Electrical Engineer will manually verify the data for accuracy and completeness.</w:t>
      </w:r>
    </w:p>
    <w:bookmarkEnd w:id="26"/>
    <w:bookmarkEnd w:id="27"/>
    <w:bookmarkStart w:id="28" w:name="safety-measures"/>
    <w:p>
      <w:pPr>
        <w:pStyle w:val="Heading2"/>
      </w:pPr>
      <w:r>
        <w:t xml:space="preserve">5. Safety Measures</w:t>
      </w:r>
    </w:p>
    <w:p>
      <w:pPr>
        <w:pStyle w:val="FirstParagraph"/>
      </w:pPr>
      <w:r>
        <w:t xml:space="preserve">Safety is a paramount concern in this experiment. The following measures will be implemented:</w:t>
      </w:r>
    </w:p>
    <w:p>
      <w:pPr>
        <w:numPr>
          <w:ilvl w:val="0"/>
          <w:numId w:val="1004"/>
        </w:numPr>
        <w:pStyle w:val="Compact"/>
      </w:pPr>
      <w:r>
        <w:t xml:space="preserve">All personnel must wear appropriate personal protective equipment (PPE), including insulated gloves and safety glasses.</w:t>
      </w:r>
    </w:p>
    <w:p>
      <w:pPr>
        <w:numPr>
          <w:ilvl w:val="0"/>
          <w:numId w:val="1004"/>
        </w:numPr>
        <w:pStyle w:val="Compact"/>
      </w:pPr>
      <w:r>
        <w:t xml:space="preserve">Emergency shutdown buttons will be accessible at all times.</w:t>
      </w:r>
    </w:p>
    <w:p>
      <w:pPr>
        <w:numPr>
          <w:ilvl w:val="0"/>
          <w:numId w:val="1004"/>
        </w:numPr>
        <w:pStyle w:val="Compact"/>
      </w:pPr>
      <w:r>
        <w:t xml:space="preserve">The laboratory will be equipped with fire suppression systems and first aid kits.</w:t>
      </w:r>
    </w:p>
    <w:p>
      <w:pPr>
        <w:numPr>
          <w:ilvl w:val="0"/>
          <w:numId w:val="1004"/>
        </w:numPr>
        <w:pStyle w:val="Compact"/>
      </w:pPr>
      <w:r>
        <w:t xml:space="preserve">Regular safety briefings will be conducted before each experimental session.</w:t>
      </w:r>
    </w:p>
    <w:bookmarkEnd w:id="28"/>
    <w:bookmarkStart w:id="29" w:name="compliance-with-german-regulations"/>
    <w:p>
      <w:pPr>
        <w:pStyle w:val="Heading2"/>
      </w:pPr>
      <w:r>
        <w:t xml:space="preserve">6. Compliance with German Regulations</w:t>
      </w:r>
    </w:p>
    <w:p>
      <w:pPr>
        <w:pStyle w:val="FirstParagraph"/>
      </w:pPr>
      <w:r>
        <w:t xml:space="preserve">This experiment adheres to the following German regulations and standards:</w:t>
      </w:r>
    </w:p>
    <w:p>
      <w:pPr>
        <w:numPr>
          <w:ilvl w:val="0"/>
          <w:numId w:val="1005"/>
        </w:numPr>
        <w:pStyle w:val="Compact"/>
      </w:pPr>
      <w:r>
        <w:rPr>
          <w:bCs/>
          <w:b/>
        </w:rPr>
        <w:t xml:space="preserve">VDE 0100:</w:t>
      </w:r>
      <w:r>
        <w:t xml:space="preserve"> </w:t>
      </w:r>
      <w:r>
        <w:t xml:space="preserve">Rules for the installation of electrical equipment.</w:t>
      </w:r>
    </w:p>
    <w:p>
      <w:pPr>
        <w:numPr>
          <w:ilvl w:val="0"/>
          <w:numId w:val="1005"/>
        </w:numPr>
        <w:pStyle w:val="Compact"/>
      </w:pPr>
      <w:r>
        <w:rPr>
          <w:bCs/>
          <w:b/>
        </w:rPr>
        <w:t xml:space="preserve">EN 61000:</w:t>
      </w:r>
      <w:r>
        <w:t xml:space="preserve"> </w:t>
      </w:r>
      <w:r>
        <w:t xml:space="preserve">Electromagnetic compatibility standards.</w:t>
      </w:r>
    </w:p>
    <w:p>
      <w:pPr>
        <w:numPr>
          <w:ilvl w:val="0"/>
          <w:numId w:val="1005"/>
        </w:numPr>
        <w:pStyle w:val="Compact"/>
      </w:pPr>
      <w:r>
        <w:rPr>
          <w:bCs/>
          <w:b/>
        </w:rPr>
        <w:t xml:space="preserve">Bundes-Immissionsschutzgesetz (BImSchG):</w:t>
      </w:r>
      <w:r>
        <w:t xml:space="preserve"> </w:t>
      </w:r>
      <w:r>
        <w:t xml:space="preserve">Federal Immission Control Act, ensuring minimal environmental impact.</w:t>
      </w:r>
    </w:p>
    <w:p>
      <w:pPr>
        <w:numPr>
          <w:ilvl w:val="0"/>
          <w:numId w:val="1005"/>
        </w:numPr>
        <w:pStyle w:val="Compact"/>
      </w:pPr>
      <w:r>
        <w:rPr>
          <w:bCs/>
          <w:b/>
        </w:rPr>
        <w:t xml:space="preserve">Arbeitsschutzgesetz (ArbSchG):</w:t>
      </w:r>
      <w:r>
        <w:t xml:space="preserve"> </w:t>
      </w:r>
      <w:r>
        <w:t xml:space="preserve">Occupational Safety and Health Act, protecting the well-being of all personnel.</w:t>
      </w:r>
    </w:p>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6"/>
        </w:numPr>
        <w:pStyle w:val="Compact"/>
      </w:pPr>
      <w:r>
        <w:t xml:space="preserve">Validation of the power converter's efficiency and performance under various load conditions.</w:t>
      </w:r>
    </w:p>
    <w:p>
      <w:pPr>
        <w:numPr>
          <w:ilvl w:val="0"/>
          <w:numId w:val="1006"/>
        </w:numPr>
        <w:pStyle w:val="Compact"/>
      </w:pPr>
      <w:r>
        <w:t xml:space="preserve">Identification of potential areas for improvement in the design.</w:t>
      </w:r>
    </w:p>
    <w:p>
      <w:pPr>
        <w:numPr>
          <w:ilvl w:val="0"/>
          <w:numId w:val="1006"/>
        </w:numPr>
        <w:pStyle w:val="Compact"/>
      </w:pPr>
      <w:r>
        <w:t xml:space="preserve">Confirmation of compliance with EMC and safety standards.</w:t>
      </w:r>
    </w:p>
    <w:p>
      <w:pPr>
        <w:numPr>
          <w:ilvl w:val="0"/>
          <w:numId w:val="1006"/>
        </w:numPr>
        <w:pStyle w:val="Compact"/>
      </w:pPr>
      <w:r>
        <w:t xml:space="preserve">Generation of data that can be used to optimize smart grid integration in Berlin and other urban areas in Germany.</w:t>
      </w:r>
    </w:p>
    <w:bookmarkEnd w:id="30"/>
    <w:bookmarkStart w:id="31" w:name="conclusion"/>
    <w:p>
      <w:pPr>
        <w:pStyle w:val="Heading2"/>
      </w:pPr>
      <w:r>
        <w:t xml:space="preserve">8. Conclusion</w:t>
      </w:r>
    </w:p>
    <w:p>
      <w:pPr>
        <w:pStyle w:val="FirstParagraph"/>
      </w:pPr>
      <w:r>
        <w:t xml:space="preserve">This Experiment Protocol provides a comprehensive framework for conducting experiments on high-efficiency power conversion systems in Berlin, Germany. By adhering to this protocol, the Electrical Engineer and their team will ensure that the experiments are conducted safely, efficiently, and in compliance with all relevant regulations. The results of this research will contribute to the advancement of smart grid technologies and support Berlin's goal of becoming a leader in sustainable urban energy solutions.</w:t>
      </w:r>
    </w:p>
    <w:bookmarkEnd w:id="31"/>
    <w:p>
      <w:pPr>
        <w:pStyle w:val="BodyText"/>
      </w:pPr>
      <w:r>
        <w:rPr>
          <w:bCs/>
          <w:b/>
        </w:rPr>
        <w:t xml:space="preserve">Approved by:</w:t>
      </w:r>
    </w:p>
    <w:p>
      <w:pPr>
        <w:pStyle w:val="BodyText"/>
      </w:pPr>
      <w:r>
        <w:t xml:space="preserve">__________________________</w:t>
      </w:r>
      <w:r>
        <w:br/>
      </w:r>
      <w:r>
        <w:t xml:space="preserve">[Name of Lead Electrical Engineer]</w:t>
      </w:r>
      <w:r>
        <w:br/>
      </w:r>
      <w:r>
        <w:t xml:space="preserve">[Title]</w:t>
      </w:r>
      <w:r>
        <w:br/>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Engineering Research in Berlin, Germany</dc:title>
  <dc:creator/>
  <dc:language>en</dc:language>
  <cp:keywords/>
  <dcterms:created xsi:type="dcterms:W3CDTF">2026-10-10T01:41:39Z</dcterms:created>
  <dcterms:modified xsi:type="dcterms:W3CDTF">2026-10-10T01:41:39Z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