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X0edcd8c513fbadce3ebf6b958272cc3e77eee7a"/>
    <w:p>
      <w:pPr>
        <w:pStyle w:val="Heading1"/>
      </w:pPr>
      <w:r>
        <w:t xml:space="preserve">Experiment Protocol: HV Grid Stability &amp; Load Balancing</w:t>
      </w:r>
    </w:p>
    <w:p>
      <w:pPr>
        <w:pStyle w:val="FirstParagraph"/>
      </w:pPr>
      <w:r>
        <w:rPr>
          <w:bCs/>
          <w:b/>
        </w:rPr>
        <w:t xml:space="preserve">Document ID:</w:t>
      </w:r>
      <w:r>
        <w:t xml:space="preserve"> </w:t>
      </w:r>
      <w:r>
        <w:t xml:space="preserve">EP-FRA-2023-089</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Test Facility B, Frankfurt am Main, Germany</w:t>
      </w:r>
    </w:p>
    <w:p>
      <w:pPr>
        <w:pStyle w:val="BodyText"/>
      </w:pPr>
      <w:r>
        <w:rPr>
          <w:bCs/>
          <w:b/>
        </w:rPr>
        <w:t xml:space="preserve">Lead Electrical Engineer:</w:t>
      </w:r>
      <w:r>
        <w:t xml:space="preserve"> </w:t>
      </w:r>
      <w:r>
        <w:t xml:space="preserve">Dr. Klaus Weber</w:t>
      </w:r>
    </w:p>
    <w:p>
      <w:pPr>
        <w:pStyle w:val="BodyText"/>
      </w:pPr>
      <w:r>
        <w:rPr>
          <w:bCs/>
          <w:b/>
        </w:rPr>
        <w:t xml:space="preserve">Department:</w:t>
      </w:r>
      <w:r>
        <w:t xml:space="preserve"> </w:t>
      </w:r>
      <w:r>
        <w:t xml:space="preserve">Power Systems Engineering</w:t>
      </w:r>
    </w:p>
    <w:p>
      <w:pPr>
        <w:pStyle w:val="BodyText"/>
      </w:pPr>
      <w:r>
        <w:rPr>
          <w:bCs/>
          <w:b/>
        </w:rPr>
        <w:t xml:space="preserve">Status:</w:t>
      </w:r>
      <w:r>
        <w:t xml:space="preserve"> </w:t>
      </w:r>
      <w:r>
        <w:t xml:space="preserve">Approved for Execution</w:t>
      </w:r>
    </w:p>
    <w:bookmarkEnd w:id="20"/>
    <w:bookmarkStart w:id="21" w:name="objective-and-scope"/>
    <w:p>
      <w:pPr>
        <w:pStyle w:val="Heading2"/>
      </w:pPr>
      <w:r>
        <w:t xml:space="preserve">1. Objective and Scope</w:t>
      </w:r>
    </w:p>
    <w:p>
      <w:pPr>
        <w:pStyle w:val="FirstParagraph"/>
      </w:pPr>
      <w:r>
        <w:t xml:space="preserve">This Experiment Protocol outlines the rigorous testing procedures required to evaluate the transient stability and load-balancing capabilities of the new High-Voltage (HV) distribution node located in the Frankfurt financial district. As a critical hub for the European energy grid, Frankfurt requires infrastructure that meets the highest standards of reliability. The primary objective is to simulate peak load conditions typical of the Frankfurt Stock Exchange (Frankfurter Wertpapierbörse) and surrounding data centers to ensure the electrical infrastructure can withstand sudden surges without frequency deviation exceeding 0.5 Hz.</w:t>
      </w:r>
    </w:p>
    <w:p>
      <w:pPr>
        <w:pStyle w:val="BodyText"/>
      </w:pPr>
      <w:r>
        <w:t xml:space="preserve">The scope of this experiment is limited to the secondary side of the 110kV/20kV transformer station. The Electrical Engineer in charge will monitor harmonic distortion, voltage sag recovery times, and thermal performance of the switchgear under simulated fault conditions. This protocol adheres strictly to the German Industrial Standard DIN VDE 0100 and the European Standard EN 50160.</w:t>
      </w:r>
    </w:p>
    <w:bookmarkEnd w:id="21"/>
    <w:bookmarkStart w:id="22" w:name="Xc1bf6019d7c7f546cd756b019a9b2d8bdab0c79"/>
    <w:p>
      <w:pPr>
        <w:pStyle w:val="Heading2"/>
      </w:pPr>
      <w:r>
        <w:t xml:space="preserve">2. Regulatory Compliance and Safety Standards</w:t>
      </w:r>
    </w:p>
    <w:p>
      <w:pPr>
        <w:pStyle w:val="FirstParagraph"/>
      </w:pPr>
      <w:r>
        <w:t xml:space="preserve">Given the location in Germany, all procedures must comply with the</w:t>
      </w:r>
      <w:r>
        <w:t xml:space="preserve"> </w:t>
      </w:r>
      <w:r>
        <w:rPr>
          <w:iCs/>
          <w:i/>
        </w:rPr>
        <w:t xml:space="preserve">Berufsgenossenschaftliche Regel</w:t>
      </w:r>
      <w:r>
        <w:t xml:space="preserve"> </w:t>
      </w:r>
      <w:r>
        <w:t xml:space="preserve">(BGR) A3 regarding electrical safety. The Electrical Engineer must ensure that all personnel involved hold the necessary "Elektrofachkraft" (Electrical Specialist) certification.</w:t>
      </w:r>
    </w:p>
    <w:p>
      <w:pPr>
        <w:pStyle w:val="BodyText"/>
      </w:pPr>
      <w:r>
        <w:rPr>
          <w:bCs/>
          <w:b/>
        </w:rPr>
        <w:t xml:space="preserve">CRITICAL SAFETY WARNING:</w:t>
      </w:r>
      <w:r>
        <w:t xml:space="preserve"> </w:t>
      </w:r>
      <w:r>
        <w:t xml:space="preserve">This experiment involves high-voltage equipment. Strict adherence to the "Five Golden Rules of Electrical Safety" (Fünf goldenen Regeln der Elektrosicherheit) is mandatory:</w:t>
      </w:r>
    </w:p>
    <w:p>
      <w:pPr>
        <w:numPr>
          <w:ilvl w:val="0"/>
          <w:numId w:val="1001"/>
        </w:numPr>
        <w:pStyle w:val="Compact"/>
      </w:pPr>
      <w:r>
        <w:t xml:space="preserve">Disconnect from all voltage sources.</w:t>
      </w:r>
    </w:p>
    <w:p>
      <w:pPr>
        <w:numPr>
          <w:ilvl w:val="0"/>
          <w:numId w:val="1001"/>
        </w:numPr>
        <w:pStyle w:val="Compact"/>
      </w:pPr>
      <w:r>
        <w:t xml:space="preserve">Secure against reconnection.</w:t>
      </w:r>
    </w:p>
    <w:p>
      <w:pPr>
        <w:numPr>
          <w:ilvl w:val="0"/>
          <w:numId w:val="1001"/>
        </w:numPr>
        <w:pStyle w:val="Compact"/>
      </w:pPr>
      <w:r>
        <w:t xml:space="preserve">Verify absence of voltage.</w:t>
      </w:r>
    </w:p>
    <w:p>
      <w:pPr>
        <w:numPr>
          <w:ilvl w:val="0"/>
          <w:numId w:val="1001"/>
        </w:numPr>
        <w:pStyle w:val="Compact"/>
      </w:pPr>
      <w:r>
        <w:t xml:space="preserve">Ground and short-circuit.</w:t>
      </w:r>
    </w:p>
    <w:p>
      <w:pPr>
        <w:numPr>
          <w:ilvl w:val="0"/>
          <w:numId w:val="1001"/>
        </w:numPr>
        <w:pStyle w:val="Compact"/>
      </w:pPr>
      <w:r>
        <w:t xml:space="preserve">Shield adjacent live parts.</w:t>
      </w:r>
    </w:p>
    <w:p>
      <w:pPr>
        <w:pStyle w:val="FirstParagraph"/>
      </w:pPr>
      <w:r>
        <w:t xml:space="preserve">Furthermore, the experiment must align with the local Frankfurt city regulations regarding noise pollution and electromagnetic interference (EMI) to avoid disrupting sensitive financial trading operations nearby.</w:t>
      </w:r>
    </w:p>
    <w:bookmarkEnd w:id="22"/>
    <w:bookmarkStart w:id="23" w:name="equipment-and-instrumentation"/>
    <w:p>
      <w:pPr>
        <w:pStyle w:val="Heading2"/>
      </w:pPr>
      <w:r>
        <w:t xml:space="preserve">3. Equipment and Instrumentation</w:t>
      </w:r>
    </w:p>
    <w:p>
      <w:pPr>
        <w:pStyle w:val="FirstParagraph"/>
      </w:pPr>
      <w:r>
        <w:t xml:space="preserve">The following calibrated equipment will be utilized by the Electrical Engineer to conduct the measurements. All devices must have valid calibration certificates traceable to the Physikalisch-Technische Bundesanstalt (PTB).</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Specification</w:t>
            </w:r>
          </w:p>
        </w:tc>
      </w:tr>
      <w:tr>
        <w:tc>
          <w:tcPr/>
          <w:p>
            <w:pPr>
              <w:pStyle w:val="Compact"/>
              <w:jc w:val="left"/>
            </w:pPr>
            <w:r>
              <w:t xml:space="preserve">Power Quality Analyzer</w:t>
            </w:r>
          </w:p>
        </w:tc>
        <w:tc>
          <w:tcPr/>
          <w:p>
            <w:pPr>
              <w:pStyle w:val="Compact"/>
              <w:jc w:val="left"/>
            </w:pPr>
            <w:r>
              <w:t xml:space="preserve">Fluke 435-II Series II</w:t>
            </w:r>
          </w:p>
        </w:tc>
        <w:tc>
          <w:tcPr/>
          <w:p>
            <w:pPr>
              <w:pStyle w:val="Compact"/>
              <w:jc w:val="left"/>
            </w:pPr>
            <w:r>
              <w:t xml:space="preserve">Class A, IEC 61000-4-30</w:t>
            </w:r>
          </w:p>
        </w:tc>
      </w:tr>
      <w:tr>
        <w:tc>
          <w:tcPr/>
          <w:p>
            <w:pPr>
              <w:pStyle w:val="Compact"/>
              <w:jc w:val="left"/>
            </w:pPr>
            <w:r>
              <w:t xml:space="preserve">Thermal Imaging Camera</w:t>
            </w:r>
          </w:p>
        </w:tc>
        <w:tc>
          <w:tcPr/>
          <w:p>
            <w:pPr>
              <w:pStyle w:val="Compact"/>
              <w:jc w:val="left"/>
            </w:pPr>
            <w:r>
              <w:t xml:space="preserve">FLIR T865</w:t>
            </w:r>
          </w:p>
        </w:tc>
        <w:tc>
          <w:tcPr/>
          <w:p>
            <w:pPr>
              <w:pStyle w:val="Compact"/>
              <w:jc w:val="left"/>
            </w:pPr>
            <w:r>
              <w:t xml:space="preserve">Resolution: 1024 x 768 px</w:t>
            </w:r>
          </w:p>
        </w:tc>
      </w:tr>
      <w:tr>
        <w:tc>
          <w:tcPr/>
          <w:p>
            <w:pPr>
              <w:pStyle w:val="Compact"/>
              <w:jc w:val="left"/>
            </w:pPr>
            <w:r>
              <w:t xml:space="preserve">Load Bank</w:t>
            </w:r>
          </w:p>
        </w:tc>
        <w:tc>
          <w:tcPr/>
          <w:p>
            <w:pPr>
              <w:pStyle w:val="Compact"/>
              <w:jc w:val="left"/>
            </w:pPr>
            <w:r>
              <w:t xml:space="preserve">Simulated Resistive/Inductive Load</w:t>
            </w:r>
          </w:p>
        </w:tc>
        <w:tc>
          <w:tcPr/>
          <w:p>
            <w:pPr>
              <w:pStyle w:val="Compact"/>
              <w:jc w:val="left"/>
            </w:pPr>
            <w:r>
              <w:t xml:space="preserve">Capacity: 500 kVA</w:t>
            </w:r>
          </w:p>
        </w:tc>
      </w:tr>
      <w:tr>
        <w:tc>
          <w:tcPr/>
          <w:p>
            <w:pPr>
              <w:pStyle w:val="Compact"/>
              <w:jc w:val="left"/>
            </w:pPr>
            <w:r>
              <w:t xml:space="preserve">Insulation Tester</w:t>
            </w:r>
          </w:p>
        </w:tc>
        <w:tc>
          <w:tcPr/>
          <w:p>
            <w:pPr>
              <w:pStyle w:val="Compact"/>
              <w:jc w:val="left"/>
            </w:pPr>
            <w:r>
              <w:t xml:space="preserve">Megger MIT530</w:t>
            </w:r>
          </w:p>
        </w:tc>
        <w:tc>
          <w:tcPr/>
          <w:p>
            <w:pPr>
              <w:pStyle w:val="Compact"/>
              <w:jc w:val="left"/>
            </w:pPr>
            <w:r>
              <w:t xml:space="preserve">Up to 5 kV DC</w:t>
            </w:r>
          </w:p>
        </w:tc>
      </w:tr>
    </w:tbl>
    <w:bookmarkEnd w:id="23"/>
    <w:bookmarkStart w:id="28" w:name="experimental-procedure"/>
    <w:p>
      <w:pPr>
        <w:pStyle w:val="Heading2"/>
      </w:pPr>
      <w:r>
        <w:t xml:space="preserve">4. Experimental Procedure</w:t>
      </w:r>
    </w:p>
    <w:p>
      <w:pPr>
        <w:pStyle w:val="FirstParagraph"/>
      </w:pPr>
      <w:r>
        <w:t xml:space="preserve">The Electrical Engineer will execute the following steps in chronological order. Any deviation from this protocol requires immediate written approval from the site supervisor.</w:t>
      </w:r>
    </w:p>
    <w:bookmarkStart w:id="24" w:name="pre-experiment-inspection"/>
    <w:p>
      <w:pPr>
        <w:pStyle w:val="Heading3"/>
      </w:pPr>
      <w:r>
        <w:t xml:space="preserve">4.1 Pre-Experiment Inspection</w:t>
      </w:r>
    </w:p>
    <w:p>
      <w:pPr>
        <w:numPr>
          <w:ilvl w:val="0"/>
          <w:numId w:val="1002"/>
        </w:numPr>
        <w:pStyle w:val="Compact"/>
      </w:pPr>
      <w:r>
        <w:t xml:space="preserve">Verify that all safety barriers are in place around the Frankfurt test site.</w:t>
      </w:r>
    </w:p>
    <w:p>
      <w:pPr>
        <w:numPr>
          <w:ilvl w:val="0"/>
          <w:numId w:val="1002"/>
        </w:numPr>
        <w:pStyle w:val="Compact"/>
      </w:pPr>
      <w:r>
        <w:t xml:space="preserve">Conduct a visual inspection of the switchgear for signs of physical damage or corrosion.</w:t>
      </w:r>
    </w:p>
    <w:p>
      <w:pPr>
        <w:numPr>
          <w:ilvl w:val="0"/>
          <w:numId w:val="1002"/>
        </w:numPr>
        <w:pStyle w:val="Compact"/>
      </w:pPr>
      <w:r>
        <w:t xml:space="preserve">Perform insulation resistance tests on all primary and secondary windings.</w:t>
      </w:r>
    </w:p>
    <w:p>
      <w:pPr>
        <w:numPr>
          <w:ilvl w:val="0"/>
          <w:numId w:val="1002"/>
        </w:numPr>
        <w:pStyle w:val="Compact"/>
      </w:pPr>
      <w:r>
        <w:t xml:space="preserve">Confirm communication links with the central monitoring station in Frankfurt are active.</w:t>
      </w:r>
    </w:p>
    <w:bookmarkEnd w:id="24"/>
    <w:bookmarkStart w:id="25" w:name="baseline-measurement"/>
    <w:p>
      <w:pPr>
        <w:pStyle w:val="Heading3"/>
      </w:pPr>
      <w:r>
        <w:t xml:space="preserve">4.2 Baseline Measurement</w:t>
      </w:r>
    </w:p>
    <w:p>
      <w:pPr>
        <w:numPr>
          <w:ilvl w:val="0"/>
          <w:numId w:val="1003"/>
        </w:numPr>
        <w:pStyle w:val="Compact"/>
      </w:pPr>
      <w:r>
        <w:t xml:space="preserve">Record ambient temperature and humidity levels.</w:t>
      </w:r>
    </w:p>
    <w:p>
      <w:pPr>
        <w:numPr>
          <w:ilvl w:val="0"/>
          <w:numId w:val="1003"/>
        </w:numPr>
        <w:pStyle w:val="Compact"/>
      </w:pPr>
      <w:r>
        <w:t xml:space="preserve">Measure baseline voltage, current, and frequency under no-load conditions.</w:t>
      </w:r>
    </w:p>
    <w:p>
      <w:pPr>
        <w:numPr>
          <w:ilvl w:val="0"/>
          <w:numId w:val="1003"/>
        </w:numPr>
        <w:pStyle w:val="Compact"/>
      </w:pPr>
      <w:r>
        <w:t xml:space="preserve">Log harmonic content (THD) to ensure it is below the 5% limit specified by VDE standards.</w:t>
      </w:r>
    </w:p>
    <w:bookmarkEnd w:id="25"/>
    <w:bookmarkStart w:id="26" w:name="load-simulation-and-stress-testing"/>
    <w:p>
      <w:pPr>
        <w:pStyle w:val="Heading3"/>
      </w:pPr>
      <w:r>
        <w:t xml:space="preserve">4.3 Load Simulation and Stress Testing</w:t>
      </w:r>
    </w:p>
    <w:p>
      <w:pPr>
        <w:numPr>
          <w:ilvl w:val="0"/>
          <w:numId w:val="1004"/>
        </w:numPr>
        <w:pStyle w:val="Compact"/>
      </w:pPr>
      <w:r>
        <w:t xml:space="preserve">Gradually increase the load using the Load Bank in 10% increments up to 120% of the rated capacity.</w:t>
      </w:r>
    </w:p>
    <w:p>
      <w:pPr>
        <w:numPr>
          <w:ilvl w:val="0"/>
          <w:numId w:val="1004"/>
        </w:numPr>
        <w:pStyle w:val="Compact"/>
      </w:pPr>
      <w:r>
        <w:t xml:space="preserve">At each increment, hold the load for 15 minutes and record voltage drop and transformer temperature.</w:t>
      </w:r>
    </w:p>
    <w:p>
      <w:pPr>
        <w:numPr>
          <w:ilvl w:val="0"/>
          <w:numId w:val="1004"/>
        </w:numPr>
        <w:pStyle w:val="Compact"/>
      </w:pPr>
      <w:r>
        <w:t xml:space="preserve">Simulate a sudden load shedding event (simulating a data center backup generator kick-in) to test transient response.</w:t>
      </w:r>
    </w:p>
    <w:p>
      <w:pPr>
        <w:numPr>
          <w:ilvl w:val="0"/>
          <w:numId w:val="1004"/>
        </w:numPr>
        <w:pStyle w:val="Compact"/>
      </w:pPr>
      <w:r>
        <w:t xml:space="preserve">Use the Thermal Imaging Camera to identify hotspots on busbars and connections during peak load.</w:t>
      </w:r>
    </w:p>
    <w:bookmarkEnd w:id="26"/>
    <w:bookmarkStart w:id="27" w:name="fault-simulation"/>
    <w:p>
      <w:pPr>
        <w:pStyle w:val="Heading3"/>
      </w:pPr>
      <w:r>
        <w:t xml:space="preserve">4.4 Fault Simulation</w:t>
      </w:r>
    </w:p>
    <w:p>
      <w:pPr>
        <w:numPr>
          <w:ilvl w:val="0"/>
          <w:numId w:val="1005"/>
        </w:numPr>
        <w:pStyle w:val="Compact"/>
      </w:pPr>
      <w:r>
        <w:t xml:space="preserve">Trigger a controlled single-phase-to-ground fault on the secondary side.</w:t>
      </w:r>
    </w:p>
    <w:p>
      <w:pPr>
        <w:numPr>
          <w:ilvl w:val="0"/>
          <w:numId w:val="1005"/>
        </w:numPr>
        <w:pStyle w:val="Compact"/>
      </w:pPr>
      <w:r>
        <w:t xml:space="preserve">Measure the time taken for the protective relays to trip the circuit breaker.</w:t>
      </w:r>
    </w:p>
    <w:p>
      <w:pPr>
        <w:numPr>
          <w:ilvl w:val="0"/>
          <w:numId w:val="1005"/>
        </w:numPr>
        <w:pStyle w:val="Compact"/>
      </w:pPr>
      <w:r>
        <w:t xml:space="preserve">Verify that the trip time is within the 40ms requirement for Frankfurt's critical infrastructure zones.</w:t>
      </w:r>
    </w:p>
    <w:bookmarkEnd w:id="27"/>
    <w:bookmarkEnd w:id="28"/>
    <w:bookmarkStart w:id="29" w:name="data-analysis-and-reporting"/>
    <w:p>
      <w:pPr>
        <w:pStyle w:val="Heading2"/>
      </w:pPr>
      <w:r>
        <w:t xml:space="preserve">5. Data Analysis and Reporting</w:t>
      </w:r>
    </w:p>
    <w:p>
      <w:pPr>
        <w:pStyle w:val="FirstParagraph"/>
      </w:pPr>
      <w:r>
        <w:t xml:space="preserve">Upon completion of the physical tests, the Electrical Engineer must compile a comprehensive report. This report will be submitted to the local utility provider (Mainova AG) and the relevant German regulatory bodies. The analysis must include:</w:t>
      </w:r>
    </w:p>
    <w:p>
      <w:pPr>
        <w:numPr>
          <w:ilvl w:val="0"/>
          <w:numId w:val="1006"/>
        </w:numPr>
        <w:pStyle w:val="Compact"/>
      </w:pPr>
      <w:r>
        <w:t xml:space="preserve">Comparison of measured values against the design specifications.</w:t>
      </w:r>
    </w:p>
    <w:p>
      <w:pPr>
        <w:numPr>
          <w:ilvl w:val="0"/>
          <w:numId w:val="1006"/>
        </w:numPr>
        <w:pStyle w:val="Compact"/>
      </w:pPr>
      <w:r>
        <w:t xml:space="preserve">Assessment of compliance with DIN VDE 0100-420 (Protection against electric shock).</w:t>
      </w:r>
    </w:p>
    <w:p>
      <w:pPr>
        <w:numPr>
          <w:ilvl w:val="0"/>
          <w:numId w:val="1006"/>
        </w:numPr>
        <w:pStyle w:val="Compact"/>
      </w:pPr>
      <w:r>
        <w:t xml:space="preserve">Recommendations for any necessary maintenance or upgrades.</w:t>
      </w:r>
    </w:p>
    <w:p>
      <w:pPr>
        <w:pStyle w:val="FirstParagraph"/>
      </w:pPr>
      <w:r>
        <w:t xml:space="preserve">All raw data must be stored securely on the company server in Frankfurt for a minimum retention period of 10 years, in accordance with German commercial law.</w:t>
      </w:r>
    </w:p>
    <w:bookmarkEnd w:id="29"/>
    <w:bookmarkStart w:id="30" w:name="emergency-procedures"/>
    <w:p>
      <w:pPr>
        <w:pStyle w:val="Heading2"/>
      </w:pPr>
      <w:r>
        <w:t xml:space="preserve">6. Emergency Procedures</w:t>
      </w:r>
    </w:p>
    <w:p>
      <w:pPr>
        <w:pStyle w:val="FirstParagraph"/>
      </w:pPr>
      <w:r>
        <w:t xml:space="preserve">In the event of an uncontrolled arc flash, fire, or equipment failure:</w:t>
      </w:r>
    </w:p>
    <w:p>
      <w:pPr>
        <w:numPr>
          <w:ilvl w:val="0"/>
          <w:numId w:val="1007"/>
        </w:numPr>
        <w:pStyle w:val="Compact"/>
      </w:pPr>
      <w:r>
        <w:t xml:space="preserve">Immediately activate the emergency shutdown button (Not-Aus).</w:t>
      </w:r>
    </w:p>
    <w:p>
      <w:pPr>
        <w:numPr>
          <w:ilvl w:val="0"/>
          <w:numId w:val="1007"/>
        </w:numPr>
        <w:pStyle w:val="Compact"/>
      </w:pPr>
      <w:r>
        <w:t xml:space="preserve">Evacuate the test area following the Frankfurt facility evacuation plan.</w:t>
      </w:r>
    </w:p>
    <w:p>
      <w:pPr>
        <w:numPr>
          <w:ilvl w:val="0"/>
          <w:numId w:val="1007"/>
        </w:numPr>
        <w:pStyle w:val="Compact"/>
      </w:pPr>
      <w:r>
        <w:t xml:space="preserve">Contact the local emergency services (112) and the site safety officer.</w:t>
      </w:r>
    </w:p>
    <w:p>
      <w:pPr>
        <w:numPr>
          <w:ilvl w:val="0"/>
          <w:numId w:val="1007"/>
        </w:numPr>
        <w:pStyle w:val="Compact"/>
      </w:pPr>
      <w:r>
        <w:t xml:space="preserve">Do not attempt to re-energize the system until a full investigation is conducted.</w:t>
      </w:r>
    </w:p>
    <w:bookmarkEnd w:id="30"/>
    <w:p>
      <w:pPr>
        <w:pStyle w:val="FirstParagraph"/>
      </w:pPr>
      <w:r>
        <w:rPr>
          <w:bCs/>
          <w:b/>
        </w:rPr>
        <w:t xml:space="preserve">Lead Electrical Engineer</w:t>
      </w:r>
      <w:r>
        <w:br/>
      </w:r>
      <w:r>
        <w:t xml:space="preserve">Name: Dr. Klaus Weber</w:t>
      </w:r>
      <w:r>
        <w:br/>
      </w:r>
      <w:r>
        <w:t xml:space="preserve">Signature: ____________________</w:t>
      </w:r>
      <w:r>
        <w:br/>
      </w:r>
      <w:r>
        <w:t xml:space="preserve">Date: ____________________</w:t>
      </w:r>
    </w:p>
    <w:p>
      <w:pPr>
        <w:pStyle w:val="BodyText"/>
      </w:pPr>
      <w:r>
        <w:rPr>
          <w:bCs/>
          <w:b/>
        </w:rPr>
        <w:t xml:space="preserve">Safety Officer</w:t>
      </w:r>
      <w:r>
        <w:br/>
      </w:r>
      <w:r>
        <w:t xml:space="preserve">Name: Maria Schmidt</w:t>
      </w:r>
      <w:r>
        <w:br/>
      </w:r>
      <w:r>
        <w:t xml:space="preserve">Signature: ____________________</w:t>
      </w:r>
      <w:r>
        <w:br/>
      </w:r>
      <w:r>
        <w:t xml:space="preserve">Date: ____________________</w:t>
      </w:r>
    </w:p>
    <w:p>
      <w:pPr>
        <w:pStyle w:val="BodyText"/>
      </w:pPr>
      <w:r>
        <w:t xml:space="preserve">© 2023 Frankfurt Power Systems Engineering GmbH. All rights reserved.</w:t>
      </w:r>
      <w:r>
        <w:br/>
      </w:r>
      <w:r>
        <w:t xml:space="preserve">This document is confidential and intended solely for the use of the authorized personnel involved in the Frankfurt HV Grid Stability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2026-10-10T02:08:35Z</dcterms:created>
  <dcterms:modified xsi:type="dcterms:W3CDTF">2026-10-10T02:08:35Z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