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Power</w:t>
      </w:r>
      <w:r>
        <w:t xml:space="preserve"> </w:t>
      </w:r>
      <w:r>
        <w:t xml:space="preserve">Quality</w:t>
      </w:r>
      <w:r>
        <w:t xml:space="preserve"> </w:t>
      </w:r>
      <w:r>
        <w:t xml:space="preserve">Analysis</w:t>
      </w:r>
    </w:p>
    <w:bookmarkStart w:id="20" w:name="Xb444a9a58788ff1981821b092e82e1814184d35"/>
    <w:p>
      <w:pPr>
        <w:pStyle w:val="Heading1"/>
      </w:pPr>
      <w:r>
        <w:t xml:space="preserve">Experiment Protocol: High-Voltage Power Quality Analysis</w:t>
      </w:r>
    </w:p>
    <w:p>
      <w:pPr>
        <w:pStyle w:val="FirstParagraph"/>
      </w:pPr>
      <w:r>
        <w:t xml:space="preserve">Prepared for: Technical University of Munich (TUM) - Institute of Electrical Engineering</w:t>
      </w:r>
    </w:p>
    <w:p>
      <w:pPr>
        <w:pStyle w:val="BodyText"/>
      </w:pPr>
      <w:r>
        <w:t xml:space="preserve">Location: Munich, Germany</w:t>
      </w:r>
    </w:p>
    <w:p>
      <w:pPr>
        <w:pStyle w:val="BodyText"/>
      </w:pPr>
      <w:r>
        <w:t xml:space="preserve">Date: October 2023</w:t>
      </w:r>
    </w:p>
    <w:bookmarkEnd w:id="20"/>
    <w:p>
      <w:pPr>
        <w:pStyle w:val="BodyText"/>
      </w:pPr>
      <w:r>
        <w:rPr>
          <w:bCs/>
          <w:b/>
        </w:rPr>
        <w:t xml:space="preserve">Document ID:</w:t>
      </w:r>
      <w:r>
        <w:t xml:space="preserve"> </w:t>
      </w:r>
      <w:r>
        <w:t xml:space="preserve">EP-EE-2023-001</w:t>
      </w:r>
      <w:r>
        <w:br/>
      </w:r>
      <w:r>
        <w:rPr>
          <w:bCs/>
          <w:b/>
        </w:rPr>
        <w:t xml:space="preserve">Version:</w:t>
      </w:r>
      <w:r>
        <w:t xml:space="preserve"> </w:t>
      </w:r>
      <w:r>
        <w:t xml:space="preserve">1.0</w:t>
      </w:r>
      <w:r>
        <w:br/>
      </w:r>
      <w:r>
        <w:rPr>
          <w:bCs/>
          <w:b/>
        </w:rPr>
        <w:t xml:space="preserve">Classification:</w:t>
      </w:r>
      <w:r>
        <w:t xml:space="preserve"> </w:t>
      </w:r>
      <w:r>
        <w:t xml:space="preserve">Internal Use Only</w:t>
      </w:r>
    </w:p>
    <w:p>
      <w:pPr>
        <w:pStyle w:val="BodyText"/>
      </w:pPr>
      <w:r>
        <w:rPr>
          <w:bCs/>
          <w:b/>
        </w:rPr>
        <w:t xml:space="preserve">Lead Electrical Engineer:</w:t>
      </w:r>
      <w:r>
        <w:t xml:space="preserve"> </w:t>
      </w:r>
      <w:r>
        <w:t xml:space="preserve">Dr. Hans Müller</w:t>
      </w:r>
      <w:r>
        <w:br/>
      </w:r>
      <w:r>
        <w:rPr>
          <w:bCs/>
          <w:b/>
        </w:rPr>
        <w:t xml:space="preserve">Supervisor:</w:t>
      </w:r>
      <w:r>
        <w:t xml:space="preserve"> </w:t>
      </w:r>
      <w:r>
        <w:t xml:space="preserve">Prof. Dr. Anna Schmidt</w:t>
      </w:r>
      <w:r>
        <w:br/>
      </w:r>
      <w:r>
        <w:rPr>
          <w:bCs/>
          <w:b/>
        </w:rPr>
        <w:t xml:space="preserve">Department:</w:t>
      </w:r>
      <w:r>
        <w:t xml:space="preserve"> </w:t>
      </w:r>
      <w:r>
        <w:t xml:space="preserve">Power Systems and High Voltage Engineering</w:t>
      </w:r>
    </w:p>
    <w:bookmarkStart w:id="21" w:name="objective"/>
    <w:p>
      <w:pPr>
        <w:pStyle w:val="Heading2"/>
      </w:pPr>
      <w:r>
        <w:t xml:space="preserve">1. Objective</w:t>
      </w:r>
    </w:p>
    <w:p>
      <w:pPr>
        <w:pStyle w:val="FirstParagraph"/>
      </w:pPr>
      <w:r>
        <w:t xml:space="preserve">This Experiment Protocol outlines the procedures for conducting a comprehensive power quality analysis on a simulated high-voltage distribution network. The primary objective is to evaluate the impact of renewable energy integration on grid stability, specifically focusing on harmonic distortion and voltage fluctuations. This study is crucial for advancing the electrical infrastructure in Munich, Germany, as the city transitions towards a more sustainable energy future.</w:t>
      </w:r>
    </w:p>
    <w:bookmarkEnd w:id="21"/>
    <w:bookmarkStart w:id="22" w:name="scope"/>
    <w:p>
      <w:pPr>
        <w:pStyle w:val="Heading2"/>
      </w:pPr>
      <w:r>
        <w:t xml:space="preserve">2. Scope</w:t>
      </w:r>
    </w:p>
    <w:p>
      <w:pPr>
        <w:pStyle w:val="FirstParagraph"/>
      </w:pPr>
      <w:r>
        <w:t xml:space="preserve">The scope of this experiment includes the following:</w:t>
      </w:r>
    </w:p>
    <w:p>
      <w:pPr>
        <w:numPr>
          <w:ilvl w:val="0"/>
          <w:numId w:val="1001"/>
        </w:numPr>
        <w:pStyle w:val="Compact"/>
      </w:pPr>
      <w:r>
        <w:t xml:space="preserve">Simulation of a 110 kV distribution network typical of the Munich metropolitan area.</w:t>
      </w:r>
    </w:p>
    <w:p>
      <w:pPr>
        <w:numPr>
          <w:ilvl w:val="0"/>
          <w:numId w:val="1001"/>
        </w:numPr>
        <w:pStyle w:val="Compact"/>
      </w:pPr>
      <w:r>
        <w:t xml:space="preserve">Integration of photovoltaic (PV) and wind energy sources into the grid model.</w:t>
      </w:r>
    </w:p>
    <w:p>
      <w:pPr>
        <w:numPr>
          <w:ilvl w:val="0"/>
          <w:numId w:val="1001"/>
        </w:numPr>
        <w:pStyle w:val="Compact"/>
      </w:pPr>
      <w:r>
        <w:t xml:space="preserve">Measurement of total harmonic distortion (THD) and voltage sag/swell events.</w:t>
      </w:r>
    </w:p>
    <w:p>
      <w:pPr>
        <w:numPr>
          <w:ilvl w:val="0"/>
          <w:numId w:val="1001"/>
        </w:numPr>
        <w:pStyle w:val="Compact"/>
      </w:pPr>
      <w:r>
        <w:t xml:space="preserve">Compliance verification with German standards DIN EN 50160 and VDE-AR-N 4105.</w:t>
      </w:r>
    </w:p>
    <w:bookmarkEnd w:id="22"/>
    <w:bookmarkStart w:id="23" w:name="responsibilities"/>
    <w:p>
      <w:pPr>
        <w:pStyle w:val="Heading2"/>
      </w:pPr>
      <w:r>
        <w:t xml:space="preserve">3. Responsibilities</w:t>
      </w:r>
    </w:p>
    <w:p>
      <w:pPr>
        <w:pStyle w:val="FirstParagraph"/>
      </w:pPr>
      <w:r>
        <w:t xml:space="preserve">The following roles and responsibilities are defined for this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Electrical Engineer</w:t>
            </w:r>
          </w:p>
        </w:tc>
        <w:tc>
          <w:tcPr/>
          <w:p>
            <w:pPr>
              <w:pStyle w:val="Compact"/>
              <w:jc w:val="left"/>
            </w:pPr>
            <w:r>
              <w:t xml:space="preserve">Oversee the entire experiment, ensure safety protocols are followed, and validate results.</w:t>
            </w:r>
          </w:p>
        </w:tc>
      </w:tr>
      <w:tr>
        <w:tc>
          <w:tcPr/>
          <w:p>
            <w:pPr>
              <w:pStyle w:val="Compact"/>
              <w:jc w:val="left"/>
            </w:pPr>
            <w:r>
              <w:t xml:space="preserve">Research Assistants</w:t>
            </w:r>
          </w:p>
        </w:tc>
        <w:tc>
          <w:tcPr/>
          <w:p>
            <w:pPr>
              <w:pStyle w:val="Compact"/>
              <w:jc w:val="left"/>
            </w:pPr>
            <w:r>
              <w:t xml:space="preserve">Set up the simulation environment, collect data, and perform preliminary analysis.</w:t>
            </w:r>
          </w:p>
        </w:tc>
      </w:tr>
      <w:tr>
        <w:tc>
          <w:tcPr/>
          <w:p>
            <w:pPr>
              <w:pStyle w:val="Compact"/>
              <w:jc w:val="left"/>
            </w:pPr>
            <w:r>
              <w:t xml:space="preserve">Safety Officer</w:t>
            </w:r>
          </w:p>
        </w:tc>
        <w:tc>
          <w:tcPr/>
          <w:p>
            <w:pPr>
              <w:pStyle w:val="Compact"/>
              <w:jc w:val="left"/>
            </w:pPr>
            <w:r>
              <w:t xml:space="preserve">Monitor compliance with safety regulations and emergency procedures.</w:t>
            </w:r>
          </w:p>
        </w:tc>
      </w:tr>
    </w:tbl>
    <w:bookmarkEnd w:id="23"/>
    <w:bookmarkStart w:id="24" w:name="equipment-and-materials"/>
    <w:p>
      <w:pPr>
        <w:pStyle w:val="Heading2"/>
      </w:pPr>
      <w:r>
        <w:t xml:space="preserve">4. Equipment and Materials</w:t>
      </w:r>
    </w:p>
    <w:p>
      <w:pPr>
        <w:pStyle w:val="FirstParagraph"/>
      </w:pPr>
      <w:r>
        <w:t xml:space="preserve">The following equipment and materials are required for this experiment:</w:t>
      </w:r>
    </w:p>
    <w:p>
      <w:pPr>
        <w:numPr>
          <w:ilvl w:val="0"/>
          <w:numId w:val="1002"/>
        </w:numPr>
        <w:pStyle w:val="Compact"/>
      </w:pPr>
      <w:r>
        <w:t xml:space="preserve">Real-Time Digital Simulator (RTDS) for power system modeling.</w:t>
      </w:r>
    </w:p>
    <w:p>
      <w:pPr>
        <w:numPr>
          <w:ilvl w:val="0"/>
          <w:numId w:val="1002"/>
        </w:numPr>
        <w:pStyle w:val="Compact"/>
      </w:pPr>
      <w:r>
        <w:t xml:space="preserve">High-voltage test transformers and circuit breakers.</w:t>
      </w:r>
    </w:p>
    <w:p>
      <w:pPr>
        <w:numPr>
          <w:ilvl w:val="0"/>
          <w:numId w:val="1002"/>
        </w:numPr>
        <w:pStyle w:val="Compact"/>
      </w:pPr>
      <w:r>
        <w:t xml:space="preserve">Power quality analyzers compliant with IEC 61000-4-30.</w:t>
      </w:r>
    </w:p>
    <w:p>
      <w:pPr>
        <w:numPr>
          <w:ilvl w:val="0"/>
          <w:numId w:val="1002"/>
        </w:numPr>
        <w:pStyle w:val="Compact"/>
      </w:pPr>
      <w:r>
        <w:t xml:space="preserve">Personal protective equipment (PPE) as per German occupational safety standards.</w:t>
      </w:r>
    </w:p>
    <w:bookmarkEnd w:id="24"/>
    <w:bookmarkStart w:id="25" w:name="procedure"/>
    <w:p>
      <w:pPr>
        <w:pStyle w:val="Heading2"/>
      </w:pPr>
      <w:r>
        <w:t xml:space="preserve">5. Procedure</w:t>
      </w:r>
    </w:p>
    <w:p>
      <w:pPr>
        <w:pStyle w:val="FirstParagraph"/>
      </w:pPr>
      <w:r>
        <w:t xml:space="preserve">The experiment will be conducted in the following steps:</w:t>
      </w:r>
    </w:p>
    <w:p>
      <w:pPr>
        <w:numPr>
          <w:ilvl w:val="0"/>
          <w:numId w:val="1003"/>
        </w:numPr>
        <w:pStyle w:val="Compact"/>
      </w:pPr>
      <w:r>
        <w:rPr>
          <w:bCs/>
          <w:b/>
        </w:rPr>
        <w:t xml:space="preserve">Setup:</w:t>
      </w:r>
      <w:r>
        <w:t xml:space="preserve"> </w:t>
      </w:r>
      <w:r>
        <w:t xml:space="preserve">Configure the RTDS to simulate the Munich distribution network, including load profiles and renewable energy sources.</w:t>
      </w:r>
    </w:p>
    <w:p>
      <w:pPr>
        <w:numPr>
          <w:ilvl w:val="0"/>
          <w:numId w:val="1003"/>
        </w:numPr>
        <w:pStyle w:val="Compact"/>
      </w:pPr>
      <w:r>
        <w:rPr>
          <w:bCs/>
          <w:b/>
        </w:rPr>
        <w:t xml:space="preserve">Calibration:</w:t>
      </w:r>
      <w:r>
        <w:t xml:space="preserve"> </w:t>
      </w:r>
      <w:r>
        <w:t xml:space="preserve">Calibrate all measurement instruments to ensure accuracy and traceability.</w:t>
      </w:r>
    </w:p>
    <w:p>
      <w:pPr>
        <w:numPr>
          <w:ilvl w:val="0"/>
          <w:numId w:val="1003"/>
        </w:numPr>
        <w:pStyle w:val="Compact"/>
      </w:pPr>
      <w:r>
        <w:rPr>
          <w:bCs/>
          <w:b/>
        </w:rPr>
        <w:t xml:space="preserve">Baseline Measurement:</w:t>
      </w:r>
      <w:r>
        <w:t xml:space="preserve"> </w:t>
      </w:r>
      <w:r>
        <w:t xml:space="preserve">Record power quality parameters under normal operating conditions without renewable energy integration.</w:t>
      </w:r>
    </w:p>
    <w:p>
      <w:pPr>
        <w:numPr>
          <w:ilvl w:val="0"/>
          <w:numId w:val="1003"/>
        </w:numPr>
        <w:pStyle w:val="Compact"/>
      </w:pPr>
      <w:r>
        <w:rPr>
          <w:bCs/>
          <w:b/>
        </w:rPr>
        <w:t xml:space="preserve">Integration:</w:t>
      </w:r>
      <w:r>
        <w:t xml:space="preserve"> </w:t>
      </w:r>
      <w:r>
        <w:t xml:space="preserve">Gradually integrate PV and wind energy sources into the grid model, monitoring for any anomalies.</w:t>
      </w:r>
    </w:p>
    <w:p>
      <w:pPr>
        <w:numPr>
          <w:ilvl w:val="0"/>
          <w:numId w:val="1003"/>
        </w:numPr>
        <w:pStyle w:val="Compact"/>
      </w:pPr>
      <w:r>
        <w:rPr>
          <w:bCs/>
          <w:b/>
        </w:rPr>
        <w:t xml:space="preserve">Data Collection:</w:t>
      </w:r>
      <w:r>
        <w:t xml:space="preserve"> </w:t>
      </w:r>
      <w:r>
        <w:t xml:space="preserve">Continuously record THD, voltage fluctuations, and frequency deviations during the integration process.</w:t>
      </w:r>
    </w:p>
    <w:p>
      <w:pPr>
        <w:numPr>
          <w:ilvl w:val="0"/>
          <w:numId w:val="1003"/>
        </w:numPr>
        <w:pStyle w:val="Compact"/>
      </w:pPr>
      <w:r>
        <w:rPr>
          <w:bCs/>
          <w:b/>
        </w:rPr>
        <w:t xml:space="preserve">Analysis:</w:t>
      </w:r>
      <w:r>
        <w:t xml:space="preserve"> </w:t>
      </w:r>
      <w:r>
        <w:t xml:space="preserve">Analyze the collected data to assess the impact of renewable energy on grid stability and compliance with relevant standards.</w:t>
      </w:r>
    </w:p>
    <w:bookmarkEnd w:id="25"/>
    <w:bookmarkStart w:id="26" w:name="safety-considerations"/>
    <w:p>
      <w:pPr>
        <w:pStyle w:val="Heading2"/>
      </w:pPr>
      <w:r>
        <w:t xml:space="preserve">6. Safety Considerations</w:t>
      </w:r>
    </w:p>
    <w:p>
      <w:pPr>
        <w:pStyle w:val="FirstParagraph"/>
      </w:pPr>
      <w:r>
        <w:rPr>
          <w:bCs/>
          <w:b/>
        </w:rPr>
        <w:t xml:space="preserve">Warning:</w:t>
      </w:r>
      <w:r>
        <w:t xml:space="preserve"> </w:t>
      </w:r>
      <w:r>
        <w:t xml:space="preserve">High-voltage experiments pose significant risks. All personnel must adhere to the following safety measures:</w:t>
      </w:r>
    </w:p>
    <w:p>
      <w:pPr>
        <w:numPr>
          <w:ilvl w:val="0"/>
          <w:numId w:val="1004"/>
        </w:numPr>
        <w:pStyle w:val="Compact"/>
      </w:pPr>
      <w:r>
        <w:t xml:space="preserve">Wear appropriate PPE, including insulated gloves and safety glasses.</w:t>
      </w:r>
    </w:p>
    <w:p>
      <w:pPr>
        <w:numPr>
          <w:ilvl w:val="0"/>
          <w:numId w:val="1004"/>
        </w:numPr>
        <w:pStyle w:val="Compact"/>
      </w:pPr>
      <w:r>
        <w:t xml:space="preserve">Ensure all equipment is properly grounded and insulated.</w:t>
      </w:r>
    </w:p>
    <w:p>
      <w:pPr>
        <w:numPr>
          <w:ilvl w:val="0"/>
          <w:numId w:val="1004"/>
        </w:numPr>
        <w:pStyle w:val="Compact"/>
      </w:pPr>
      <w:r>
        <w:t xml:space="preserve">Follow lockout/tagout procedures when working on live circuits.</w:t>
      </w:r>
    </w:p>
    <w:p>
      <w:pPr>
        <w:numPr>
          <w:ilvl w:val="0"/>
          <w:numId w:val="1004"/>
        </w:numPr>
        <w:pStyle w:val="Compact"/>
      </w:pPr>
      <w:r>
        <w:t xml:space="preserve">Have an emergency shutdown plan in place and ensure all personnel are familiar with it.</w:t>
      </w:r>
    </w:p>
    <w:bookmarkEnd w:id="26"/>
    <w:bookmarkStart w:id="27" w:name="data-analysis-and-reporting"/>
    <w:p>
      <w:pPr>
        <w:pStyle w:val="Heading2"/>
      </w:pPr>
      <w:r>
        <w:t xml:space="preserve">7. Data Analysis and Reporting</w:t>
      </w:r>
    </w:p>
    <w:p>
      <w:pPr>
        <w:pStyle w:val="FirstParagraph"/>
      </w:pPr>
      <w:r>
        <w:t xml:space="preserve">The data collected during the experiment will be analyzed using statistical methods and power system analysis software. The results will be compiled into a detailed report, including:</w:t>
      </w:r>
    </w:p>
    <w:p>
      <w:pPr>
        <w:numPr>
          <w:ilvl w:val="0"/>
          <w:numId w:val="1005"/>
        </w:numPr>
        <w:pStyle w:val="Compact"/>
      </w:pPr>
      <w:r>
        <w:t xml:space="preserve">Summary of findings and key observations.</w:t>
      </w:r>
    </w:p>
    <w:p>
      <w:pPr>
        <w:numPr>
          <w:ilvl w:val="0"/>
          <w:numId w:val="1005"/>
        </w:numPr>
        <w:pStyle w:val="Compact"/>
      </w:pPr>
      <w:r>
        <w:t xml:space="preserve">Comparison of results with baseline measurements and regulatory standards.</w:t>
      </w:r>
    </w:p>
    <w:p>
      <w:pPr>
        <w:numPr>
          <w:ilvl w:val="0"/>
          <w:numId w:val="1005"/>
        </w:numPr>
        <w:pStyle w:val="Compact"/>
      </w:pPr>
      <w:r>
        <w:t xml:space="preserve">Recommendations for improving grid stability and integrating renewable energy sources.</w:t>
      </w:r>
    </w:p>
    <w:bookmarkEnd w:id="27"/>
    <w:bookmarkStart w:id="28" w:name="conclusion"/>
    <w:p>
      <w:pPr>
        <w:pStyle w:val="Heading2"/>
      </w:pPr>
      <w:r>
        <w:t xml:space="preserve">8. Conclusion</w:t>
      </w:r>
    </w:p>
    <w:p>
      <w:pPr>
        <w:pStyle w:val="FirstParagraph"/>
      </w:pPr>
      <w:r>
        <w:t xml:space="preserve">This Experiment Protocol provides a structured approach to conducting a high-voltage power quality analysis in Munich, Germany. By following these procedures, the Electrical Engineer and research team will gain valuable insights into the challenges and opportunities associated with renewable energy integration. The findings will contribute to the development of more resilient and sustainable power systems in the region.</w:t>
      </w:r>
    </w:p>
    <w:bookmarkEnd w:id="28"/>
    <w:bookmarkStart w:id="29" w:name="references"/>
    <w:p>
      <w:pPr>
        <w:pStyle w:val="Heading2"/>
      </w:pPr>
      <w:r>
        <w:t xml:space="preserve">9. References</w:t>
      </w:r>
    </w:p>
    <w:p>
      <w:pPr>
        <w:numPr>
          <w:ilvl w:val="0"/>
          <w:numId w:val="1006"/>
        </w:numPr>
        <w:pStyle w:val="Compact"/>
      </w:pPr>
      <w:r>
        <w:t xml:space="preserve">DIN EN 50160: Voltage characteristics of electricity supplied by public distribution systems.</w:t>
      </w:r>
    </w:p>
    <w:p>
      <w:pPr>
        <w:numPr>
          <w:ilvl w:val="0"/>
          <w:numId w:val="1006"/>
        </w:numPr>
        <w:pStyle w:val="Compact"/>
      </w:pPr>
      <w:r>
        <w:t xml:space="preserve">VDE-AR-N 4105: Connection and parallel operation of generating plants with low-voltage networks.</w:t>
      </w:r>
    </w:p>
    <w:p>
      <w:pPr>
        <w:numPr>
          <w:ilvl w:val="0"/>
          <w:numId w:val="1006"/>
        </w:numPr>
        <w:pStyle w:val="Compact"/>
      </w:pPr>
      <w:r>
        <w:t xml:space="preserve">IEC 61000-4-30: Electromagnetic compatibility (EMC) - Part 4-30: Testing and measurement techniques - Power quality measurement methods.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Power Quality Analysis</dc:title>
  <dc:creator/>
  <dc:language>en</dc:language>
  <cp:keywords/>
  <dcterms:created xsi:type="dcterms:W3CDTF">2026-10-10T00:59:40Z</dcterms:created>
  <dcterms:modified xsi:type="dcterms:W3CDTF">2026-10-10T00:59:40Z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