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Israel Tel Aviv, Electrical Engineering Research Laboratory</w:t>
      </w:r>
    </w:p>
    <w:p>
      <w:pPr>
        <w:pStyle w:val="BodyText"/>
      </w:pPr>
      <w:r>
        <w:rPr>
          <w:bCs/>
          <w:b/>
        </w:rPr>
        <w:t xml:space="preserve">Document ID:</w:t>
      </w:r>
      <w:r>
        <w:t xml:space="preserve"> </w:t>
      </w:r>
      <w:r>
        <w:t xml:space="preserve">EP-TLV-2023-045</w:t>
      </w:r>
    </w:p>
    <w:bookmarkEnd w:id="20"/>
    <w:p>
      <w:pPr>
        <w:pStyle w:val="BodyText"/>
      </w:pPr>
      <w:r>
        <w:rPr>
          <w:bCs/>
          <w:b/>
        </w:rPr>
        <w:t xml:space="preserve">Prepared By:</w:t>
      </w:r>
      <w:r>
        <w:t xml:space="preserve"> </w:t>
      </w:r>
      <w:r>
        <w:t xml:space="preserve">Senior Electrical Engineer, Grid Dynamics Division</w:t>
      </w:r>
    </w:p>
    <w:p>
      <w:pPr>
        <w:pStyle w:val="BodyText"/>
      </w:pPr>
      <w:r>
        <w:rPr>
          <w:bCs/>
          <w:b/>
        </w:rPr>
        <w:t xml:space="preserve">Date:</w:t>
      </w:r>
      <w:r>
        <w:t xml:space="preserve"> </w:t>
      </w:r>
      <w:r>
        <w:t xml:space="preserve">October 15, 2023</w:t>
      </w:r>
    </w:p>
    <w:p>
      <w:pPr>
        <w:pStyle w:val="BodyText"/>
      </w:pPr>
      <w:r>
        <w:rPr>
          <w:bCs/>
          <w:b/>
        </w:rPr>
        <w:t xml:space="preserve">Approved By:</w:t>
      </w:r>
      <w:r>
        <w:t xml:space="preserve"> </w:t>
      </w:r>
      <w:r>
        <w:t xml:space="preserve">Laboratory Safety Committee, Tel Aviv University</w:t>
      </w:r>
    </w:p>
    <w:p>
      <w:pPr>
        <w:pStyle w:val="BodyText"/>
      </w:pPr>
      <w:r>
        <w:rPr>
          <w:bCs/>
          <w:b/>
        </w:rPr>
        <w:t xml:space="preserve">Version:</w:t>
      </w:r>
      <w:r>
        <w:t xml:space="preserve"> </w:t>
      </w:r>
      <w:r>
        <w:t xml:space="preserve">1.0</w:t>
      </w:r>
    </w:p>
    <w:bookmarkStart w:id="21" w:name="objective"/>
    <w:p>
      <w:pPr>
        <w:pStyle w:val="Heading2"/>
      </w:pPr>
      <w:r>
        <w:t xml:space="preserve">1. Objective</w:t>
      </w:r>
    </w:p>
    <w:p>
      <w:pPr>
        <w:pStyle w:val="FirstParagraph"/>
      </w:pPr>
      <w:r>
        <w:t xml:space="preserve">The primary objective of this Experiment Protocol is to evaluate the stability and resilience of the local high-voltage distribution network in Israel Tel Aviv under simulated fault conditions. This study aims to enhance the reliability of the electrical grid, which is critical for the dense urban environment and technological infrastructure of Tel Aviv. The Electrical Engineer leading this experiment will analyze transient responses, harmonic distortions, and protective relay performance to ensure compliance with Israeli electrical standards and international best practices.</w:t>
      </w:r>
    </w:p>
    <w:bookmarkEnd w:id="21"/>
    <w:bookmarkStart w:id="22" w:name="scope"/>
    <w:p>
      <w:pPr>
        <w:pStyle w:val="Heading2"/>
      </w:pPr>
      <w:r>
        <w:t xml:space="preserve">2. Scope</w:t>
      </w:r>
    </w:p>
    <w:p>
      <w:pPr>
        <w:pStyle w:val="FirstParagraph"/>
      </w:pPr>
      <w:r>
        <w:t xml:space="preserve">This protocol applies to all Electrical Engineers, technicians, and support staff involved in the experiment at the designated laboratory in Israel Tel Aviv. The scope includes the setup, execution, data collection, and analysis phases of the experiment. It also covers safety procedures, equipment calibration, and emergency response protocols specific to high-voltage testing environments.</w:t>
      </w:r>
    </w:p>
    <w:bookmarkEnd w:id="22"/>
    <w:bookmarkStart w:id="23" w:name="safety-procedures"/>
    <w:p>
      <w:pPr>
        <w:pStyle w:val="Heading2"/>
      </w:pPr>
      <w:r>
        <w:t xml:space="preserve">3. Safety Procedures</w:t>
      </w:r>
    </w:p>
    <w:p>
      <w:pPr>
        <w:pStyle w:val="FirstParagraph"/>
      </w:pPr>
      <w:r>
        <w:t xml:space="preserve">Safety is paramount in this Experiment Protocol. All personnel must adhere to the following guidelines:</w:t>
      </w:r>
    </w:p>
    <w:p>
      <w:pPr>
        <w:numPr>
          <w:ilvl w:val="0"/>
          <w:numId w:val="1001"/>
        </w:numPr>
        <w:pStyle w:val="Compact"/>
      </w:pPr>
      <w:r>
        <w:t xml:space="preserve">Wear appropriate personal protective equipment (PPE), including insulated gloves, safety glasses, and flame-resistant clothing.</w:t>
      </w:r>
    </w:p>
    <w:p>
      <w:pPr>
        <w:numPr>
          <w:ilvl w:val="0"/>
          <w:numId w:val="1001"/>
        </w:numPr>
        <w:pStyle w:val="Compact"/>
      </w:pPr>
      <w:r>
        <w:t xml:space="preserve">Ensure all equipment is properly grounded and insulated before energizing.</w:t>
      </w:r>
    </w:p>
    <w:p>
      <w:pPr>
        <w:numPr>
          <w:ilvl w:val="0"/>
          <w:numId w:val="1001"/>
        </w:numPr>
        <w:pStyle w:val="Compact"/>
      </w:pPr>
      <w:r>
        <w:t xml:space="preserve">Conduct a pre-experiment safety briefing to review potential hazards and emergency procedures.</w:t>
      </w:r>
    </w:p>
    <w:p>
      <w:pPr>
        <w:numPr>
          <w:ilvl w:val="0"/>
          <w:numId w:val="1001"/>
        </w:numPr>
        <w:pStyle w:val="Compact"/>
      </w:pPr>
      <w:r>
        <w:t xml:space="preserve">Install and verify the functionality of emergency shutdown systems.</w:t>
      </w:r>
    </w:p>
    <w:p>
      <w:pPr>
        <w:numPr>
          <w:ilvl w:val="0"/>
          <w:numId w:val="1001"/>
        </w:numPr>
        <w:pStyle w:val="Compact"/>
      </w:pPr>
      <w:r>
        <w:t xml:space="preserve">Restrict access to the experiment area to authorized personnel only.</w:t>
      </w:r>
    </w:p>
    <w:p>
      <w:pPr>
        <w:pStyle w:val="FirstParagraph"/>
      </w:pPr>
      <w:r>
        <w:rPr>
          <w:bCs/>
          <w:b/>
        </w:rPr>
        <w:t xml:space="preserve">Warning:</w:t>
      </w:r>
      <w:r>
        <w:t xml:space="preserve"> </w:t>
      </w:r>
      <w:r>
        <w:t xml:space="preserve">High-voltage experiments pose significant risks. Any deviation from this protocol must be approved by the lead Electrical Engineer and the safety committee.</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High-Voltage Power Supply</w:t>
            </w:r>
          </w:p>
        </w:tc>
        <w:tc>
          <w:tcPr/>
          <w:p>
            <w:pPr>
              <w:pStyle w:val="Compact"/>
              <w:jc w:val="left"/>
            </w:pPr>
            <w:r>
              <w:t xml:space="preserve">1</w:t>
            </w:r>
          </w:p>
        </w:tc>
        <w:tc>
          <w:tcPr/>
          <w:p>
            <w:pPr>
              <w:pStyle w:val="Compact"/>
              <w:jc w:val="left"/>
            </w:pPr>
            <w:r>
              <w:t xml:space="preserve">Capable of 33 kV output</w:t>
            </w:r>
          </w:p>
        </w:tc>
      </w:tr>
      <w:tr>
        <w:tc>
          <w:tcPr/>
          <w:p>
            <w:pPr>
              <w:pStyle w:val="Compact"/>
              <w:jc w:val="left"/>
            </w:pPr>
            <w:r>
              <w:t xml:space="preserve">Protective Relays</w:t>
            </w:r>
          </w:p>
        </w:tc>
        <w:tc>
          <w:tcPr/>
          <w:p>
            <w:pPr>
              <w:pStyle w:val="Compact"/>
              <w:jc w:val="left"/>
            </w:pPr>
            <w:r>
              <w:t xml:space="preserve">4</w:t>
            </w:r>
          </w:p>
        </w:tc>
        <w:tc>
          <w:tcPr/>
          <w:p>
            <w:pPr>
              <w:pStyle w:val="Compact"/>
              <w:jc w:val="left"/>
            </w:pPr>
            <w:r>
              <w:t xml:space="preserve">IEC 60255 compliant</w:t>
            </w:r>
          </w:p>
        </w:tc>
      </w:tr>
      <w:tr>
        <w:tc>
          <w:tcPr/>
          <w:p>
            <w:pPr>
              <w:pStyle w:val="Compact"/>
              <w:jc w:val="left"/>
            </w:pPr>
            <w:r>
              <w:t xml:space="preserve">Oscilloscopes</w:t>
            </w:r>
          </w:p>
        </w:tc>
        <w:tc>
          <w:tcPr/>
          <w:p>
            <w:pPr>
              <w:pStyle w:val="Compact"/>
              <w:jc w:val="left"/>
            </w:pPr>
            <w:r>
              <w:t xml:space="preserve">2</w:t>
            </w:r>
          </w:p>
        </w:tc>
        <w:tc>
          <w:tcPr/>
          <w:p>
            <w:pPr>
              <w:pStyle w:val="Compact"/>
              <w:jc w:val="left"/>
            </w:pPr>
            <w:r>
              <w:t xml:space="preserve">Minimum 100 MHz bandwidth</w:t>
            </w:r>
          </w:p>
        </w:tc>
      </w:tr>
      <w:tr>
        <w:tc>
          <w:tcPr/>
          <w:p>
            <w:pPr>
              <w:pStyle w:val="Compact"/>
              <w:jc w:val="left"/>
            </w:pPr>
            <w:r>
              <w:t xml:space="preserve">Current Transformers</w:t>
            </w:r>
          </w:p>
        </w:tc>
        <w:tc>
          <w:tcPr/>
          <w:p>
            <w:pPr>
              <w:pStyle w:val="Compact"/>
              <w:jc w:val="left"/>
            </w:pPr>
            <w:r>
              <w:t xml:space="preserve">6</w:t>
            </w:r>
          </w:p>
        </w:tc>
        <w:tc>
          <w:tcPr/>
          <w:p>
            <w:pPr>
              <w:pStyle w:val="Compact"/>
              <w:jc w:val="left"/>
            </w:pPr>
            <w:r>
              <w:t xml:space="preserve">Rated for 1000 A</w:t>
            </w:r>
          </w:p>
        </w:tc>
      </w:tr>
      <w:tr>
        <w:tc>
          <w:tcPr/>
          <w:p>
            <w:pPr>
              <w:pStyle w:val="Compact"/>
              <w:jc w:val="left"/>
            </w:pPr>
            <w:r>
              <w:t xml:space="preserve">Data Acquisition System</w:t>
            </w:r>
          </w:p>
        </w:tc>
        <w:tc>
          <w:tcPr/>
          <w:p>
            <w:pPr>
              <w:pStyle w:val="Compact"/>
              <w:jc w:val="left"/>
            </w:pPr>
            <w:r>
              <w:t xml:space="preserve">1</w:t>
            </w:r>
          </w:p>
        </w:tc>
        <w:tc>
          <w:tcPr/>
          <w:p>
            <w:pPr>
              <w:pStyle w:val="Compact"/>
              <w:jc w:val="left"/>
            </w:pPr>
            <w:r>
              <w:t xml:space="preserve">High-speed sampling rate</w:t>
            </w:r>
          </w:p>
        </w:tc>
      </w:tr>
      <w:tr>
        <w:tc>
          <w:tcPr/>
          <w:p>
            <w:pPr>
              <w:pStyle w:val="Compact"/>
              <w:jc w:val="left"/>
            </w:pPr>
            <w:r>
              <w:t xml:space="preserve">Insulated Tools</w:t>
            </w:r>
          </w:p>
        </w:tc>
        <w:tc>
          <w:tcPr/>
          <w:p>
            <w:pPr>
              <w:pStyle w:val="Compact"/>
              <w:jc w:val="left"/>
            </w:pPr>
            <w:r>
              <w:t xml:space="preserve">Set</w:t>
            </w:r>
          </w:p>
        </w:tc>
        <w:tc>
          <w:tcPr/>
          <w:p>
            <w:pPr>
              <w:pStyle w:val="Compact"/>
              <w:jc w:val="left"/>
            </w:pPr>
            <w:r>
              <w:t xml:space="preserve">Rated for 1000 V</w:t>
            </w:r>
          </w:p>
        </w:tc>
      </w:tr>
    </w:tbl>
    <w:bookmarkEnd w:id="24"/>
    <w:bookmarkStart w:id="25" w:name="procedure"/>
    <w:p>
      <w:pPr>
        <w:pStyle w:val="Heading2"/>
      </w:pPr>
      <w:r>
        <w:t xml:space="preserve">5. Procedure</w:t>
      </w:r>
    </w:p>
    <w:p>
      <w:pPr>
        <w:pStyle w:val="FirstParagraph"/>
      </w:pPr>
      <w:r>
        <w:t xml:space="preserve">The experiment will be conducted in the following steps:</w:t>
      </w:r>
    </w:p>
    <w:p>
      <w:pPr>
        <w:numPr>
          <w:ilvl w:val="0"/>
          <w:numId w:val="1002"/>
        </w:numPr>
        <w:pStyle w:val="Compact"/>
      </w:pPr>
      <w:r>
        <w:rPr>
          <w:bCs/>
          <w:b/>
        </w:rPr>
        <w:t xml:space="preserve">Setup:</w:t>
      </w:r>
      <w:r>
        <w:t xml:space="preserve"> </w:t>
      </w:r>
      <w:r>
        <w:t xml:space="preserve">Assemble the test circuit according to the schematic diagram provided by the lead Electrical Engineer. Ensure all connections are secure and properly labeled.</w:t>
      </w:r>
    </w:p>
    <w:p>
      <w:pPr>
        <w:numPr>
          <w:ilvl w:val="0"/>
          <w:numId w:val="1002"/>
        </w:numPr>
        <w:pStyle w:val="Compact"/>
      </w:pPr>
      <w:r>
        <w:rPr>
          <w:bCs/>
          <w:b/>
        </w:rPr>
        <w:t xml:space="preserve">Calibration:</w:t>
      </w:r>
      <w:r>
        <w:t xml:space="preserve"> </w:t>
      </w:r>
      <w:r>
        <w:t xml:space="preserve">Calibrate all measurement instruments to ensure accuracy. Verify the settings of protective relays and data acquisition systems.</w:t>
      </w:r>
    </w:p>
    <w:p>
      <w:pPr>
        <w:numPr>
          <w:ilvl w:val="0"/>
          <w:numId w:val="1002"/>
        </w:numPr>
        <w:pStyle w:val="Compact"/>
      </w:pPr>
      <w:r>
        <w:rPr>
          <w:bCs/>
          <w:b/>
        </w:rPr>
        <w:t xml:space="preserve">Pre-Test Checks:</w:t>
      </w:r>
      <w:r>
        <w:t xml:space="preserve"> </w:t>
      </w:r>
      <w:r>
        <w:t xml:space="preserve">Perform a visual inspection of the setup. Check for any signs of damage or wear. Confirm that all safety measures are in place.</w:t>
      </w:r>
    </w:p>
    <w:p>
      <w:pPr>
        <w:numPr>
          <w:ilvl w:val="0"/>
          <w:numId w:val="1002"/>
        </w:numPr>
        <w:pStyle w:val="Compact"/>
      </w:pPr>
      <w:r>
        <w:rPr>
          <w:bCs/>
          <w:b/>
        </w:rPr>
        <w:t xml:space="preserve">Energization:</w:t>
      </w:r>
      <w:r>
        <w:t xml:space="preserve"> </w:t>
      </w:r>
      <w:r>
        <w:t xml:space="preserve">Gradually increase the voltage to the desired level while monitoring the system for any anomalies.</w:t>
      </w:r>
    </w:p>
    <w:p>
      <w:pPr>
        <w:numPr>
          <w:ilvl w:val="0"/>
          <w:numId w:val="1002"/>
        </w:numPr>
        <w:pStyle w:val="Compact"/>
      </w:pPr>
      <w:r>
        <w:rPr>
          <w:bCs/>
          <w:b/>
        </w:rPr>
        <w:t xml:space="preserve">Fault Simulation:</w:t>
      </w:r>
      <w:r>
        <w:t xml:space="preserve"> </w:t>
      </w:r>
      <w:r>
        <w:t xml:space="preserve">Introduce simulated faults (e.g., short circuits, ground faults) at predetermined points in the circuit. Record the system's response.</w:t>
      </w:r>
    </w:p>
    <w:p>
      <w:pPr>
        <w:numPr>
          <w:ilvl w:val="0"/>
          <w:numId w:val="1002"/>
        </w:numPr>
        <w:pStyle w:val="Compact"/>
      </w:pPr>
      <w:r>
        <w:rPr>
          <w:bCs/>
          <w:b/>
        </w:rPr>
        <w:t xml:space="preserve">Data Collection:</w:t>
      </w:r>
      <w:r>
        <w:t xml:space="preserve"> </w:t>
      </w:r>
      <w:r>
        <w:t xml:space="preserve">Capture voltage, current, and frequency data using the data acquisition system. Ensure continuous monitoring throughout the experiment.</w:t>
      </w:r>
    </w:p>
    <w:p>
      <w:pPr>
        <w:numPr>
          <w:ilvl w:val="0"/>
          <w:numId w:val="1002"/>
        </w:numPr>
        <w:pStyle w:val="Compact"/>
      </w:pPr>
      <w:r>
        <w:rPr>
          <w:bCs/>
          <w:b/>
        </w:rPr>
        <w:t xml:space="preserve">De-energization:</w:t>
      </w:r>
      <w:r>
        <w:t xml:space="preserve"> </w:t>
      </w:r>
      <w:r>
        <w:t xml:space="preserve">Safely reduce the voltage to zero and disconnect the power supply. Verify that all energy is dissipated before proceeding.</w:t>
      </w:r>
    </w:p>
    <w:p>
      <w:pPr>
        <w:numPr>
          <w:ilvl w:val="0"/>
          <w:numId w:val="1002"/>
        </w:numPr>
        <w:pStyle w:val="Compact"/>
      </w:pPr>
      <w:r>
        <w:rPr>
          <w:bCs/>
          <w:b/>
        </w:rPr>
        <w:t xml:space="preserve">Post-Test Inspection:</w:t>
      </w:r>
      <w:r>
        <w:t xml:space="preserve"> </w:t>
      </w:r>
      <w:r>
        <w:t xml:space="preserve">Inspect the equipment for any damage or irregularities. Document any observations.</w:t>
      </w:r>
    </w:p>
    <w:bookmarkEnd w:id="25"/>
    <w:bookmarkStart w:id="26" w:name="data-analysis"/>
    <w:p>
      <w:pPr>
        <w:pStyle w:val="Heading2"/>
      </w:pPr>
      <w:r>
        <w:t xml:space="preserve">6. Data Analysis</w:t>
      </w:r>
    </w:p>
    <w:p>
      <w:pPr>
        <w:pStyle w:val="FirstParagraph"/>
      </w:pPr>
      <w:r>
        <w:t xml:space="preserve">The Electrical Engineer will analyze the collected data to assess the performance of the grid under fault conditions. Key metrics include:</w:t>
      </w:r>
    </w:p>
    <w:p>
      <w:pPr>
        <w:numPr>
          <w:ilvl w:val="0"/>
          <w:numId w:val="1003"/>
        </w:numPr>
        <w:pStyle w:val="Compact"/>
      </w:pPr>
      <w:r>
        <w:t xml:space="preserve">Transient voltage and current levels</w:t>
      </w:r>
    </w:p>
    <w:p>
      <w:pPr>
        <w:numPr>
          <w:ilvl w:val="0"/>
          <w:numId w:val="1003"/>
        </w:numPr>
        <w:pStyle w:val="Compact"/>
      </w:pPr>
      <w:r>
        <w:t xml:space="preserve">Harmonic distortion factors</w:t>
      </w:r>
    </w:p>
    <w:p>
      <w:pPr>
        <w:numPr>
          <w:ilvl w:val="0"/>
          <w:numId w:val="1003"/>
        </w:numPr>
        <w:pStyle w:val="Compact"/>
      </w:pPr>
      <w:r>
        <w:t xml:space="preserve">Protective relay operation times</w:t>
      </w:r>
    </w:p>
    <w:p>
      <w:pPr>
        <w:numPr>
          <w:ilvl w:val="0"/>
          <w:numId w:val="1003"/>
        </w:numPr>
        <w:pStyle w:val="Compact"/>
      </w:pPr>
      <w:r>
        <w:t xml:space="preserve">System recovery time after fault clearance</w:t>
      </w:r>
    </w:p>
    <w:p>
      <w:pPr>
        <w:pStyle w:val="FirstParagraph"/>
      </w:pPr>
      <w:r>
        <w:t xml:space="preserve">The analysis will be compared against established standards and previous test results to identify areas for improvement.</w:t>
      </w:r>
    </w:p>
    <w:bookmarkEnd w:id="26"/>
    <w:bookmarkStart w:id="27" w:name="reporting"/>
    <w:p>
      <w:pPr>
        <w:pStyle w:val="Heading2"/>
      </w:pPr>
      <w:r>
        <w:t xml:space="preserve">7. Reporting</w:t>
      </w:r>
    </w:p>
    <w:p>
      <w:pPr>
        <w:pStyle w:val="FirstParagraph"/>
      </w:pPr>
      <w:r>
        <w:t xml:space="preserve">A comprehensive report will be prepared by the lead Electrical Engineer, detailing the experiment's objectives, methodology, results, and conclusions. The report will include:</w:t>
      </w:r>
    </w:p>
    <w:p>
      <w:pPr>
        <w:numPr>
          <w:ilvl w:val="0"/>
          <w:numId w:val="1004"/>
        </w:numPr>
        <w:pStyle w:val="Compact"/>
      </w:pPr>
      <w:r>
        <w:t xml:space="preserve">Summary of findings</w:t>
      </w:r>
    </w:p>
    <w:p>
      <w:pPr>
        <w:numPr>
          <w:ilvl w:val="0"/>
          <w:numId w:val="1004"/>
        </w:numPr>
        <w:pStyle w:val="Compact"/>
      </w:pPr>
      <w:r>
        <w:t xml:space="preserve">Graphs and charts illustrating key data points</w:t>
      </w:r>
    </w:p>
    <w:p>
      <w:pPr>
        <w:numPr>
          <w:ilvl w:val="0"/>
          <w:numId w:val="1004"/>
        </w:numPr>
        <w:pStyle w:val="Compact"/>
      </w:pPr>
      <w:r>
        <w:t xml:space="preserve">Recommendations for enhancing grid stability</w:t>
      </w:r>
    </w:p>
    <w:p>
      <w:pPr>
        <w:numPr>
          <w:ilvl w:val="0"/>
          <w:numId w:val="1004"/>
        </w:numPr>
        <w:pStyle w:val="Compact"/>
      </w:pPr>
      <w:r>
        <w:t xml:space="preserve">Any deviations from the protocol and their impact</w:t>
      </w:r>
    </w:p>
    <w:p>
      <w:pPr>
        <w:pStyle w:val="FirstParagraph"/>
      </w:pPr>
      <w:r>
        <w:t xml:space="preserve">The report will be submitted to the relevant stakeholders in Israel Tel Aviv, including the laboratory management and local utility providers.</w:t>
      </w:r>
    </w:p>
    <w:bookmarkEnd w:id="27"/>
    <w:bookmarkStart w:id="28" w:name="conclusion"/>
    <w:p>
      <w:pPr>
        <w:pStyle w:val="Heading2"/>
      </w:pPr>
      <w:r>
        <w:t xml:space="preserve">8. Conclusion</w:t>
      </w:r>
    </w:p>
    <w:p>
      <w:pPr>
        <w:pStyle w:val="FirstParagraph"/>
      </w:pPr>
      <w:r>
        <w:t xml:space="preserve">This Experiment Protocol provides a structured approach to evaluating the stability of the high-voltage distribution network in Israel Tel Aviv. By adhering to this protocol, the Electrical Engineer and the research team can ensure the safety, accuracy, and reliability of the experiment. The insights gained from this study will contribute to the ongoing efforts to improve the electrical infrastructure in Tel Aviv, supporting the city's growth and technological advancement.</w:t>
      </w:r>
    </w:p>
    <w:bookmarkEnd w:id="28"/>
    <w:bookmarkStart w:id="29" w:name="signatures"/>
    <w:p>
      <w:pPr>
        <w:pStyle w:val="Heading2"/>
      </w:pPr>
      <w:r>
        <w:t xml:space="preserve">9. Signatures</w:t>
      </w:r>
    </w:p>
    <w:p>
      <w:pPr>
        <w:pStyle w:val="FirstParagraph"/>
      </w:pPr>
      <w:r>
        <w:rPr>
          <w:bCs/>
          <w:b/>
        </w:rPr>
        <w:t xml:space="preserve">Lead Electrical Engineer:</w:t>
      </w:r>
      <w:r>
        <w:t xml:space="preserve"> </w:t>
      </w:r>
      <w:r>
        <w:t xml:space="preserve">________________________ Date: ______________</w:t>
      </w:r>
    </w:p>
    <w:p>
      <w:pPr>
        <w:pStyle w:val="BodyText"/>
      </w:pPr>
      <w:r>
        <w:rPr>
          <w:bCs/>
          <w:b/>
        </w:rPr>
        <w:t xml:space="preserve">Safety Officer:</w:t>
      </w:r>
      <w:r>
        <w:t xml:space="preserve"> </w:t>
      </w:r>
      <w:r>
        <w:t xml:space="preserve">________________________ Date: ______________</w:t>
      </w:r>
    </w:p>
    <w:p>
      <w:pPr>
        <w:pStyle w:val="BodyText"/>
      </w:pPr>
      <w:r>
        <w:rPr>
          <w:bCs/>
          <w:b/>
        </w:rPr>
        <w:t xml:space="preserve">Laboratory Manager:</w:t>
      </w:r>
      <w:r>
        <w:t xml:space="preserve"> </w:t>
      </w:r>
      <w:r>
        <w:t xml:space="preserve">________________________ Date: 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2026-10-10T02:26:25Z</dcterms:created>
  <dcterms:modified xsi:type="dcterms:W3CDTF">2026-10-10T02:26:25Z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