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High-Voltage</w:t>
      </w:r>
      <w:r>
        <w:t xml:space="preserve"> </w:t>
      </w:r>
      <w:r>
        <w:t xml:space="preserve">Grid</w:t>
      </w:r>
      <w:r>
        <w:t xml:space="preserve"> </w:t>
      </w:r>
      <w:r>
        <w:t xml:space="preserve">Stability</w:t>
      </w:r>
      <w:r>
        <w:t xml:space="preserve"> </w:t>
      </w:r>
      <w:r>
        <w:t xml:space="preserve">Analysis</w:t>
      </w:r>
      <w:r>
        <w:t xml:space="preserve"> </w:t>
      </w:r>
      <w:r>
        <w:t xml:space="preserve">in</w:t>
      </w:r>
      <w:r>
        <w:t xml:space="preserve"> </w:t>
      </w:r>
      <w:r>
        <w:t xml:space="preserve">Japan</w:t>
      </w:r>
      <w:r>
        <w:t xml:space="preserve"> </w:t>
      </w:r>
      <w:r>
        <w:t xml:space="preserve">Osaka</w:t>
      </w:r>
    </w:p>
    <w:bookmarkStart w:id="27" w:name="Xb29908883c6f58fd0791a2e58a383c3a37c6f15"/>
    <w:p>
      <w:pPr>
        <w:pStyle w:val="Heading1"/>
      </w:pPr>
      <w:r>
        <w:t xml:space="preserve">Experiment Protocol: High-Voltage Grid Stability Analysis in Japan Osaka</w:t>
      </w:r>
    </w:p>
    <w:p>
      <w:pPr>
        <w:pStyle w:val="FirstParagraph"/>
      </w:pPr>
      <w:r>
        <w:rPr>
          <w:bCs/>
          <w:b/>
        </w:rPr>
        <w:t xml:space="preserve">Document ID:</w:t>
      </w:r>
      <w:r>
        <w:t xml:space="preserve"> </w:t>
      </w:r>
      <w:r>
        <w:t xml:space="preserve">EP-OSK-EE-2023-045</w:t>
      </w:r>
    </w:p>
    <w:p>
      <w:pPr>
        <w:pStyle w:val="BodyText"/>
      </w:pPr>
      <w:r>
        <w:rPr>
          <w:bCs/>
          <w:b/>
        </w:rPr>
        <w:t xml:space="preserve">Location:</w:t>
      </w:r>
      <w:r>
        <w:t xml:space="preserve"> </w:t>
      </w:r>
      <w:r>
        <w:t xml:space="preserve">Kansai Electric Power Company (KEPCO) Test Facility, Osaka, Japan</w:t>
      </w:r>
    </w:p>
    <w:p>
      <w:pPr>
        <w:pStyle w:val="BodyText"/>
      </w:pPr>
      <w:r>
        <w:rPr>
          <w:bCs/>
          <w:b/>
        </w:rPr>
        <w:t xml:space="preserve">Lead Electrical Engineer:</w:t>
      </w:r>
      <w:r>
        <w:t xml:space="preserve"> </w:t>
      </w:r>
      <w:r>
        <w:t xml:space="preserve">[Name Redacted]</w:t>
      </w:r>
    </w:p>
    <w:p>
      <w:pPr>
        <w:pStyle w:val="BodyText"/>
      </w:pPr>
      <w:r>
        <w:rPr>
          <w:bCs/>
          <w:b/>
        </w:rPr>
        <w:t xml:space="preserve">Date of Issue:</w:t>
      </w:r>
      <w:r>
        <w:t xml:space="preserve"> </w:t>
      </w:r>
      <w:r>
        <w:t xml:space="preserve">October 24, 2023</w:t>
      </w:r>
    </w:p>
    <w:p>
      <w:pPr>
        <w:pStyle w:val="BodyText"/>
      </w:pPr>
      <w:r>
        <w:rPr>
          <w:bCs/>
          <w:b/>
        </w:rPr>
        <w:t xml:space="preserve">Version:</w:t>
      </w:r>
      <w:r>
        <w:t xml:space="preserve"> </w:t>
      </w:r>
      <w:r>
        <w:t xml:space="preserve">1.2</w:t>
      </w:r>
    </w:p>
    <w:bookmarkStart w:id="20" w:name="introduction-and-objective"/>
    <w:p>
      <w:pPr>
        <w:pStyle w:val="Heading2"/>
      </w:pPr>
      <w:r>
        <w:t xml:space="preserve">1. Introduction and Objective</w:t>
      </w:r>
    </w:p>
    <w:p>
      <w:pPr>
        <w:pStyle w:val="FirstParagraph"/>
      </w:pPr>
      <w:r>
        <w:t xml:space="preserve">This Experiment Protocol outlines the rigorous procedures required for the assessment of transient stability within the high-voltage transmission network serving the Japan Osaka metropolitan area. As an Electrical Engineer operating within the Kansai region, the primary objective is to evaluate the resilience of the local grid against sudden load fluctuations and potential fault conditions. The rapid urbanization and industrial density of Osaka necessitate a robust power infrastructure capable of maintaining frequency stability at 60 Hz, which is standard for the western region of Japan.</w:t>
      </w:r>
    </w:p>
    <w:p>
      <w:pPr>
        <w:pStyle w:val="BodyText"/>
      </w:pPr>
      <w:r>
        <w:t xml:space="preserve">The experiment aims to simulate specific fault scenarios using a Hardware-in-the-Loop (HIL) simulation environment. By doing so, we can validate the response times of protective relays and the efficacy of automatic generation control systems without risking actual power outages in the Osaka city grid. This protocol ensures that all testing adheres to the strict safety regulations mandated by the Ministry of Economy, Trade and Industry (METI) and the Japanese Industrial Standards (JIS).</w:t>
      </w:r>
    </w:p>
    <w:bookmarkEnd w:id="20"/>
    <w:bookmarkStart w:id="21" w:name="scope-and-applicability"/>
    <w:p>
      <w:pPr>
        <w:pStyle w:val="Heading2"/>
      </w:pPr>
      <w:r>
        <w:t xml:space="preserve">2. Scope and Applicability</w:t>
      </w:r>
    </w:p>
    <w:p>
      <w:pPr>
        <w:pStyle w:val="FirstParagraph"/>
      </w:pPr>
      <w:r>
        <w:t xml:space="preserve">This protocol applies specifically to the testing of the 275 kV transmission lines connecting the Osaka Bay area substations. It is designed for use by qualified Electrical Engineers and technical staff authorized by the facility management in Osaka. The scope includes the configuration of simulation parameters, the execution of fault injection tests, data acquisition, and the subsequent analysis of system recovery metrics.</w:t>
      </w:r>
    </w:p>
    <w:p>
      <w:pPr>
        <w:pStyle w:val="BodyText"/>
      </w:pPr>
      <w:r>
        <w:t xml:space="preserve">The procedures defined herein are critical for ensuring that the electrical infrastructure in Japan Osaka can withstand extreme weather events and unexpected demand surges, which are common challenges in the region.</w:t>
      </w:r>
    </w:p>
    <w:bookmarkEnd w:id="21"/>
    <w:bookmarkStart w:id="22" w:name="safety-precautions-and-compliance"/>
    <w:p>
      <w:pPr>
        <w:pStyle w:val="Heading2"/>
      </w:pPr>
      <w:r>
        <w:t xml:space="preserve">3. Safety Precautions and Compliance</w:t>
      </w:r>
    </w:p>
    <w:p>
      <w:pPr>
        <w:pStyle w:val="FirstParagraph"/>
      </w:pPr>
      <w:r>
        <w:t xml:space="preserve">Safety is the paramount concern for any Electrical Engineer conducting high-voltage experiments. All personnel must strictly adhere to the following safety measures before entering the test zone in Osaka:</w:t>
      </w:r>
    </w:p>
    <w:p>
      <w:pPr>
        <w:numPr>
          <w:ilvl w:val="0"/>
          <w:numId w:val="1001"/>
        </w:numPr>
        <w:pStyle w:val="Compact"/>
      </w:pPr>
      <w:r>
        <w:rPr>
          <w:bCs/>
          <w:b/>
        </w:rPr>
        <w:t xml:space="preserve">Personal Protective Equipment (PPE):</w:t>
      </w:r>
      <w:r>
        <w:t xml:space="preserve"> </w:t>
      </w:r>
      <w:r>
        <w:t xml:space="preserve">All staff must wear arc-flash rated suits, insulated gloves (Class 00 or higher), safety glasses, and dielectric footwear.</w:t>
      </w:r>
    </w:p>
    <w:p>
      <w:pPr>
        <w:numPr>
          <w:ilvl w:val="0"/>
          <w:numId w:val="1001"/>
        </w:numPr>
        <w:pStyle w:val="Compact"/>
      </w:pPr>
      <w:r>
        <w:rPr>
          <w:bCs/>
          <w:b/>
        </w:rPr>
        <w:t xml:space="preserve">Lockout/Tagout (LOTO):</w:t>
      </w:r>
      <w:r>
        <w:t xml:space="preserve"> </w:t>
      </w:r>
      <w:r>
        <w:t xml:space="preserve">Strict LOTO procedures must be implemented on all physical connections to the live grid before initiating simulation modes.</w:t>
      </w:r>
    </w:p>
    <w:p>
      <w:pPr>
        <w:numPr>
          <w:ilvl w:val="0"/>
          <w:numId w:val="1001"/>
        </w:numPr>
        <w:pStyle w:val="Compact"/>
      </w:pPr>
      <w:r>
        <w:rPr>
          <w:bCs/>
          <w:b/>
        </w:rPr>
        <w:t xml:space="preserve">Emergency Protocols:</w:t>
      </w:r>
      <w:r>
        <w:t xml:space="preserve"> </w:t>
      </w:r>
      <w:r>
        <w:t xml:space="preserve">In the event of a system anomaly, the emergency shutdown button located at the main control panel must be activated immediately. Evacuation routes specific to the Osaka facility must be memorized by all participants.</w:t>
      </w:r>
    </w:p>
    <w:p>
      <w:pPr>
        <w:numPr>
          <w:ilvl w:val="0"/>
          <w:numId w:val="1001"/>
        </w:numPr>
        <w:pStyle w:val="Compact"/>
      </w:pPr>
      <w:r>
        <w:rPr>
          <w:bCs/>
          <w:b/>
        </w:rPr>
        <w:t xml:space="preserve">Regulatory Compliance:</w:t>
      </w:r>
      <w:r>
        <w:t xml:space="preserve"> </w:t>
      </w:r>
      <w:r>
        <w:t xml:space="preserve">All testing must comply with JIS C 8305 standards for electrical installations and local Osaka municipal safety codes.</w:t>
      </w:r>
    </w:p>
    <w:bookmarkEnd w:id="22"/>
    <w:bookmarkStart w:id="23" w:name="equipment-and-materials"/>
    <w:p>
      <w:pPr>
        <w:pStyle w:val="Heading2"/>
      </w:pPr>
      <w:r>
        <w:t xml:space="preserve">4. Equipment and Materials</w:t>
      </w:r>
    </w:p>
    <w:p>
      <w:pPr>
        <w:pStyle w:val="FirstParagraph"/>
      </w:pPr>
      <w:r>
        <w:t xml:space="preserve">The following equipment is required to execute this experiment protocol effectively: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Real-Time Simulator</w:t>
            </w:r>
          </w:p>
        </w:tc>
        <w:tc>
          <w:tcPr/>
          <w:p>
            <w:pPr>
              <w:pStyle w:val="Compact"/>
              <w:jc w:val="left"/>
            </w:pPr>
            <w:r>
              <w:t xml:space="preserve">RTDS (Real-Time Digital Simulator) or equivalent</w:t>
            </w:r>
          </w:p>
        </w:tc>
        <w:tc>
          <w:tcPr/>
          <w:p>
            <w:pPr>
              <w:pStyle w:val="Compact"/>
              <w:jc w:val="left"/>
            </w:pPr>
            <w:r>
              <w:t xml:space="preserve">1 Unit</w:t>
            </w:r>
          </w:p>
        </w:tc>
      </w:tr>
      <w:tr>
        <w:tc>
          <w:tcPr/>
          <w:p>
            <w:pPr>
              <w:pStyle w:val="Compact"/>
              <w:jc w:val="left"/>
            </w:pPr>
            <w:r>
              <w:t xml:space="preserve">Protective Relay Test Set</w:t>
            </w:r>
          </w:p>
        </w:tc>
        <w:tc>
          <w:tcPr/>
          <w:p>
            <w:pPr>
              <w:pStyle w:val="Compact"/>
              <w:jc w:val="left"/>
            </w:pPr>
            <w:r>
              <w:t xml:space="preserve">Omron or Mitsubishi Electric compatible</w:t>
            </w:r>
          </w:p>
        </w:tc>
        <w:tc>
          <w:tcPr/>
          <w:p>
            <w:pPr>
              <w:pStyle w:val="Compact"/>
              <w:jc w:val="left"/>
            </w:pPr>
            <w:r>
              <w:t xml:space="preserve">2 Units</w:t>
            </w:r>
          </w:p>
        </w:tc>
      </w:tr>
      <w:tr>
        <w:tc>
          <w:tcPr/>
          <w:p>
            <w:pPr>
              <w:pStyle w:val="Compact"/>
              <w:jc w:val="left"/>
            </w:pPr>
            <w:r>
              <w:t xml:space="preserve">Data Acquisition System</w:t>
            </w:r>
          </w:p>
        </w:tc>
        <w:tc>
          <w:tcPr/>
          <w:p>
            <w:pPr>
              <w:pStyle w:val="Compact"/>
              <w:jc w:val="left"/>
            </w:pPr>
            <w:r>
              <w:t xml:space="preserve">High-speed oscilloscope with 100 MS/s sampling rate</w:t>
            </w:r>
          </w:p>
        </w:tc>
        <w:tc>
          <w:tcPr/>
          <w:p>
            <w:pPr>
              <w:pStyle w:val="Compact"/>
              <w:jc w:val="left"/>
            </w:pPr>
            <w:r>
              <w:t xml:space="preserve">1 Unit</w:t>
            </w:r>
          </w:p>
        </w:tc>
      </w:tr>
      <w:tr>
        <w:tc>
          <w:tcPr/>
          <w:p>
            <w:pPr>
              <w:pStyle w:val="Compact"/>
              <w:jc w:val="left"/>
            </w:pPr>
            <w:r>
              <w:t xml:space="preserve">Communication Interface</w:t>
            </w:r>
          </w:p>
        </w:tc>
        <w:tc>
          <w:tcPr/>
          <w:p>
            <w:pPr>
              <w:pStyle w:val="Compact"/>
              <w:jc w:val="left"/>
            </w:pPr>
            <w:r>
              <w:t xml:space="preserve">IEC 61850 compliant gateway</w:t>
            </w:r>
          </w:p>
        </w:tc>
        <w:tc>
          <w:tcPr/>
          <w:p>
            <w:pPr>
              <w:pStyle w:val="Compact"/>
              <w:jc w:val="left"/>
            </w:pPr>
            <w:r>
              <w:t xml:space="preserve">1 Unit</w:t>
            </w:r>
          </w:p>
        </w:tc>
      </w:tr>
    </w:tbl>
    <w:bookmarkEnd w:id="23"/>
    <w:bookmarkStart w:id="24" w:name="experimental-procedure"/>
    <w:p>
      <w:pPr>
        <w:pStyle w:val="Heading2"/>
      </w:pPr>
      <w:r>
        <w:t xml:space="preserve">5. Experimental Procedure</w:t>
      </w:r>
    </w:p>
    <w:p>
      <w:pPr>
        <w:pStyle w:val="FirstParagraph"/>
      </w:pPr>
      <w:r>
        <w:t xml:space="preserve">The Electrical Engineer shall follow these steps sequentially to ensure data integrity and operational safety:</w:t>
      </w:r>
    </w:p>
    <w:p>
      <w:pPr>
        <w:numPr>
          <w:ilvl w:val="0"/>
          <w:numId w:val="1002"/>
        </w:numPr>
        <w:pStyle w:val="Compact"/>
      </w:pPr>
      <w:r>
        <w:rPr>
          <w:bCs/>
          <w:b/>
        </w:rPr>
        <w:t xml:space="preserve">System Initialization:</w:t>
      </w:r>
      <w:r>
        <w:t xml:space="preserve"> </w:t>
      </w:r>
      <w:r>
        <w:t xml:space="preserve">Power on the Real-Time Simulator and verify the connection to the protective relay test sets. Ensure the simulation model accurately reflects the current topology of the Osaka grid.</w:t>
      </w:r>
    </w:p>
    <w:p>
      <w:pPr>
        <w:numPr>
          <w:ilvl w:val="0"/>
          <w:numId w:val="1002"/>
        </w:numPr>
        <w:pStyle w:val="Compact"/>
      </w:pPr>
      <w:r>
        <w:rPr>
          <w:bCs/>
          <w:b/>
        </w:rPr>
        <w:t xml:space="preserve">Baseline Measurement:</w:t>
      </w:r>
      <w:r>
        <w:t xml:space="preserve"> </w:t>
      </w:r>
      <w:r>
        <w:t xml:space="preserve">Run the simulation under normal load conditions for 10 minutes. Record voltage, current, and frequency data to establish a baseline. Verify that the frequency remains stable at 60 Hz.</w:t>
      </w:r>
    </w:p>
    <w:p>
      <w:pPr>
        <w:numPr>
          <w:ilvl w:val="0"/>
          <w:numId w:val="1002"/>
        </w:numPr>
        <w:pStyle w:val="Compact"/>
      </w:pPr>
      <w:r>
        <w:rPr>
          <w:bCs/>
          <w:b/>
        </w:rPr>
        <w:t xml:space="preserve">Fault Scenario Configuration:</w:t>
      </w:r>
      <w:r>
        <w:t xml:space="preserve"> </w:t>
      </w:r>
      <w:r>
        <w:t xml:space="preserve">Program the simulator to inject a three-phase short-circuit fault at the designated node representing the Osaka Bay substation. Set the fault duration to 100 milliseconds.</w:t>
      </w:r>
    </w:p>
    <w:p>
      <w:pPr>
        <w:numPr>
          <w:ilvl w:val="0"/>
          <w:numId w:val="1002"/>
        </w:numPr>
        <w:pStyle w:val="Compact"/>
      </w:pPr>
      <w:r>
        <w:rPr>
          <w:bCs/>
          <w:b/>
        </w:rPr>
        <w:t xml:space="preserve">Execution:</w:t>
      </w:r>
      <w:r>
        <w:t xml:space="preserve"> </w:t>
      </w:r>
      <w:r>
        <w:t xml:space="preserve">Initiate the fault sequence. Monitor the real-time response of the protective relays. The Electrical Engineer must observe the tripping sequence and the activation of backup generators.</w:t>
      </w:r>
    </w:p>
    <w:p>
      <w:pPr>
        <w:numPr>
          <w:ilvl w:val="0"/>
          <w:numId w:val="1002"/>
        </w:numPr>
        <w:pStyle w:val="Compact"/>
      </w:pPr>
      <w:r>
        <w:rPr>
          <w:bCs/>
          <w:b/>
        </w:rPr>
        <w:t xml:space="preserve">Data Logging:</w:t>
      </w:r>
      <w:r>
        <w:t xml:space="preserve"> </w:t>
      </w:r>
      <w:r>
        <w:t xml:space="preserve">Ensure the Data Acquisition System is recording all transient events at a high sampling rate. Capture the exact moment of fault clearance and system recovery.</w:t>
      </w:r>
    </w:p>
    <w:p>
      <w:pPr>
        <w:numPr>
          <w:ilvl w:val="0"/>
          <w:numId w:val="1002"/>
        </w:numPr>
        <w:pStyle w:val="Compact"/>
      </w:pPr>
      <w:r>
        <w:rPr>
          <w:bCs/>
          <w:b/>
        </w:rPr>
        <w:t xml:space="preserve">Repeat Trials:</w:t>
      </w:r>
      <w:r>
        <w:t xml:space="preserve"> </w:t>
      </w:r>
      <w:r>
        <w:t xml:space="preserve">Repeat the experiment three times to ensure consistency in the results. Vary the load conditions slightly in each trial to simulate different times of day in Osaka.</w:t>
      </w:r>
    </w:p>
    <w:bookmarkEnd w:id="24"/>
    <w:bookmarkStart w:id="25" w:name="data-analysis-and-reporting"/>
    <w:p>
      <w:pPr>
        <w:pStyle w:val="Heading2"/>
      </w:pPr>
      <w:r>
        <w:t xml:space="preserve">6. Data Analysis and Reporting</w:t>
      </w:r>
    </w:p>
    <w:p>
      <w:pPr>
        <w:pStyle w:val="FirstParagraph"/>
      </w:pPr>
      <w:r>
        <w:t xml:space="preserve">Upon completion of the trials, the Electrical Engineer must analyze the collected data. Key performance indicators include the time taken for fault isolation, the magnitude of voltage sag, and the time required to restore frequency stability. Any deviations from the expected performance must be documented.</w:t>
      </w:r>
    </w:p>
    <w:p>
      <w:pPr>
        <w:pStyle w:val="BodyText"/>
      </w:pPr>
      <w:r>
        <w:t xml:space="preserve">The final report must be submitted to the project management team in Osaka within five business days. The report should include recommendations for any necessary upgrades to the grid infrastructure to enhance reliability.</w:t>
      </w:r>
    </w:p>
    <w:bookmarkEnd w:id="25"/>
    <w:bookmarkStart w:id="26" w:name="conclusion"/>
    <w:p>
      <w:pPr>
        <w:pStyle w:val="Heading2"/>
      </w:pPr>
      <w:r>
        <w:t xml:space="preserve">7. Conclusion</w:t>
      </w:r>
    </w:p>
    <w:p>
      <w:pPr>
        <w:pStyle w:val="FirstParagraph"/>
      </w:pPr>
      <w:r>
        <w:t xml:space="preserve">This Experiment Protocol provides a comprehensive framework for testing the electrical grid stability in Japan Osaka. By adhering to these procedures, the Electrical Engineer ensures that the power supply remains safe, reliable, and compliant with national standards. The insights gained from this experiment will contribute significantly to the ongoing modernization of the Kansai region's energy infrastructure.</w:t>
      </w:r>
    </w:p>
    <w:p>
      <w:pPr>
        <w:pStyle w:val="BodyText"/>
      </w:pPr>
      <w:r>
        <w:rPr>
          <w:bCs/>
          <w:b/>
        </w:rPr>
        <w:t xml:space="preserve">Lead Electrical Engineer Signature:</w:t>
      </w:r>
    </w:p>
    <w:p>
      <w:pPr>
        <w:pStyle w:val="BodyText"/>
      </w:pPr>
      <w:r>
        <w:t xml:space="preserve">__________________________</w:t>
      </w:r>
    </w:p>
    <w:p>
      <w:pPr>
        <w:pStyle w:val="BodyText"/>
      </w:pPr>
      <w:r>
        <w:t xml:space="preserve">Date: ____________________</w:t>
      </w:r>
    </w:p>
    <w:p>
      <w:pPr>
        <w:pStyle w:val="BodyText"/>
      </w:pPr>
      <w:r>
        <w:rPr>
          <w:bCs/>
          <w:b/>
        </w:rPr>
        <w:t xml:space="preserve">Project Manager Signature:</w:t>
      </w:r>
    </w:p>
    <w:p>
      <w:pPr>
        <w:pStyle w:val="BodyText"/>
      </w:pPr>
      <w:r>
        <w:t xml:space="preserve">__________________________</w:t>
      </w:r>
    </w:p>
    <w:p>
      <w:pPr>
        <w:pStyle w:val="BodyText"/>
      </w:pPr>
      <w:r>
        <w:t xml:space="preserve">Date: ____________________</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High-Voltage Grid Stability Analysis in Japan Osaka</dc:title>
  <dc:creator/>
  <dc:language>en</dc:language>
  <cp:keywords/>
  <dcterms:created xsi:type="dcterms:W3CDTF">2026-10-10T03:05:02Z</dcterms:created>
  <dcterms:modified xsi:type="dcterms:W3CDTF">2026-10-10T03:05:02Z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