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Tokyo, Japan</w:t>
      </w:r>
    </w:p>
    <w:p>
      <w:pPr>
        <w:pStyle w:val="BodyText"/>
      </w:pPr>
      <w:r>
        <w:rPr>
          <w:bCs/>
          <w:b/>
        </w:rPr>
        <w:t xml:space="preserve">Role:</w:t>
      </w:r>
      <w:r>
        <w:t xml:space="preserve"> </w:t>
      </w:r>
      <w:r>
        <w:t xml:space="preserve">Senior Electrical Engineer</w:t>
      </w:r>
    </w:p>
    <w:p>
      <w:pPr>
        <w:pStyle w:val="BodyText"/>
      </w:pPr>
      <w:r>
        <w:rPr>
          <w:bCs/>
          <w:b/>
        </w:rPr>
        <w:t xml:space="preserve">Document ID:</w:t>
      </w:r>
      <w:r>
        <w:t xml:space="preserve"> </w:t>
      </w:r>
      <w:r>
        <w:t xml:space="preserve">EP-TKY-2023-089</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simulation and physical testing of high-voltage transmission stability within the Tokyo metropolitan area. As an Electrical Engineer operating in Japan Tokyo, adherence to this protocol is mandatory to ensure the reliability of the power grid, which is critical for the dense urban infrastructure of the Kanto region.</w:t>
      </w:r>
    </w:p>
    <w:p>
      <w:pPr>
        <w:pStyle w:val="BodyText"/>
      </w:pPr>
      <w:r>
        <w:t xml:space="preserve">The primary objective of this experiment is to evaluate the transient stability of the 500kV transmission lines connecting the Chubu Electric Power grid to the Tokyo Electric Power Company (TEPCO) grid. Specifically, this study aims to analyze the system's response to sudden load fluctuations and potential fault conditions, ensuring compliance with the stringent safety standards mandated by the Ministry of Economy, Trade and Industry (METI) of Japan.</w:t>
      </w:r>
    </w:p>
    <w:bookmarkEnd w:id="21"/>
    <w:bookmarkStart w:id="22" w:name="scope-and-regulatory-compliance"/>
    <w:p>
      <w:pPr>
        <w:pStyle w:val="Heading2"/>
      </w:pPr>
      <w:r>
        <w:t xml:space="preserve">2. Scope and Regulatory Compliance</w:t>
      </w:r>
    </w:p>
    <w:p>
      <w:pPr>
        <w:pStyle w:val="FirstParagraph"/>
      </w:pPr>
      <w:r>
        <w:t xml:space="preserve">The scope of this experiment encompasses both hardware-in-the-loop (HIL) simulations and controlled field tests at designated substations in Tokyo. All activities must strictly adhere to the following regulatory frameworks:</w:t>
      </w:r>
    </w:p>
    <w:p>
      <w:pPr>
        <w:numPr>
          <w:ilvl w:val="0"/>
          <w:numId w:val="1001"/>
        </w:numPr>
        <w:pStyle w:val="Compact"/>
      </w:pPr>
      <w:r>
        <w:rPr>
          <w:bCs/>
          <w:b/>
        </w:rPr>
        <w:t xml:space="preserve">Japanese Industrial Standards (JIS):</w:t>
      </w:r>
      <w:r>
        <w:t xml:space="preserve"> </w:t>
      </w:r>
      <w:r>
        <w:t xml:space="preserve">Specifically JIS C 8305 regarding high-voltage test techniques.</w:t>
      </w:r>
    </w:p>
    <w:p>
      <w:pPr>
        <w:numPr>
          <w:ilvl w:val="0"/>
          <w:numId w:val="1001"/>
        </w:numPr>
        <w:pStyle w:val="Compact"/>
      </w:pPr>
      <w:r>
        <w:rPr>
          <w:bCs/>
          <w:b/>
        </w:rPr>
        <w:t xml:space="preserve">TEPCO Safety Regulations:</w:t>
      </w:r>
      <w:r>
        <w:t xml:space="preserve"> </w:t>
      </w:r>
      <w:r>
        <w:t xml:space="preserve">Internal protocols for working on live high-voltage equipment.</w:t>
      </w:r>
    </w:p>
    <w:p>
      <w:pPr>
        <w:numPr>
          <w:ilvl w:val="0"/>
          <w:numId w:val="1001"/>
        </w:numPr>
        <w:pStyle w:val="Compact"/>
      </w:pPr>
      <w:r>
        <w:rPr>
          <w:bCs/>
          <w:b/>
        </w:rPr>
        <w:t xml:space="preserve">Electrical Appliances and Materials Control Law:</w:t>
      </w:r>
      <w:r>
        <w:t xml:space="preserve"> </w:t>
      </w:r>
      <w:r>
        <w:t xml:space="preserve">Ensuring all testing equipment meets national safety requirements.</w:t>
      </w:r>
    </w:p>
    <w:p>
      <w:pPr>
        <w:pStyle w:val="FirstParagraph"/>
      </w:pPr>
      <w:r>
        <w:t xml:space="preserve">The Electrical Engineer leading this project is responsible for verifying that all personnel possess the necessary certifications, including the High-Voltage Work License (High Voltage Work Permit) issued by the Japanese government.</w:t>
      </w:r>
    </w:p>
    <w:bookmarkEnd w:id="22"/>
    <w:bookmarkStart w:id="23" w:name="equipment-and-materials"/>
    <w:p>
      <w:pPr>
        <w:pStyle w:val="Heading2"/>
      </w:pPr>
      <w:r>
        <w:t xml:space="preserve">3. Equipment and Materials</w:t>
      </w:r>
    </w:p>
    <w:p>
      <w:pPr>
        <w:pStyle w:val="FirstParagraph"/>
      </w:pPr>
      <w:r>
        <w:t xml:space="preserve">The following equipment is required for the execution of this experiment. All devices must be calibrated and certified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Real-Time Digital Simulator (RTDS)</w:t>
            </w:r>
          </w:p>
        </w:tc>
        <w:tc>
          <w:tcPr/>
          <w:p>
            <w:pPr>
              <w:pStyle w:val="Compact"/>
              <w:jc w:val="left"/>
            </w:pPr>
            <w:r>
              <w:t xml:space="preserve">Capable of 50Hz/60Hz dual-frequency simulation</w:t>
            </w:r>
          </w:p>
        </w:tc>
        <w:tc>
          <w:tcPr/>
          <w:p>
            <w:pPr>
              <w:pStyle w:val="Compact"/>
              <w:jc w:val="left"/>
            </w:pPr>
            <w:r>
              <w:t xml:space="preserve">1 Unit</w:t>
            </w:r>
          </w:p>
        </w:tc>
      </w:tr>
      <w:tr>
        <w:tc>
          <w:tcPr/>
          <w:p>
            <w:pPr>
              <w:pStyle w:val="Compact"/>
              <w:jc w:val="left"/>
            </w:pPr>
            <w:r>
              <w:t xml:space="preserve">High-Voltage Oscilloscope</w:t>
            </w:r>
          </w:p>
        </w:tc>
        <w:tc>
          <w:tcPr/>
          <w:p>
            <w:pPr>
              <w:pStyle w:val="Compact"/>
              <w:jc w:val="left"/>
            </w:pPr>
            <w:r>
              <w:t xml:space="preserve">Bandwidth &gt; 100MHz, JIS Certified</w:t>
            </w:r>
          </w:p>
        </w:tc>
        <w:tc>
          <w:tcPr/>
          <w:p>
            <w:pPr>
              <w:pStyle w:val="Compact"/>
              <w:jc w:val="left"/>
            </w:pPr>
            <w:r>
              <w:t xml:space="preserve">2 Units</w:t>
            </w:r>
          </w:p>
        </w:tc>
      </w:tr>
      <w:tr>
        <w:tc>
          <w:tcPr/>
          <w:p>
            <w:pPr>
              <w:pStyle w:val="Compact"/>
              <w:jc w:val="left"/>
            </w:pPr>
            <w:r>
              <w:t xml:space="preserve">Power Quality Analyzer</w:t>
            </w:r>
          </w:p>
        </w:tc>
        <w:tc>
          <w:tcPr/>
          <w:p>
            <w:pPr>
              <w:pStyle w:val="Compact"/>
              <w:jc w:val="left"/>
            </w:pPr>
            <w:r>
              <w:t xml:space="preserve">Class A Accuracy</w:t>
            </w:r>
          </w:p>
        </w:tc>
        <w:tc>
          <w:tcPr/>
          <w:p>
            <w:pPr>
              <w:pStyle w:val="Compact"/>
              <w:jc w:val="left"/>
            </w:pPr>
            <w:r>
              <w:t xml:space="preserve">3 Units</w:t>
            </w:r>
          </w:p>
        </w:tc>
      </w:tr>
      <w:tr>
        <w:tc>
          <w:tcPr/>
          <w:p>
            <w:pPr>
              <w:pStyle w:val="Compact"/>
              <w:jc w:val="left"/>
            </w:pPr>
            <w:r>
              <w:t xml:space="preserve">Personal Protective Equipment (PPE)</w:t>
            </w:r>
          </w:p>
        </w:tc>
        <w:tc>
          <w:tcPr/>
          <w:p>
            <w:pPr>
              <w:pStyle w:val="Compact"/>
              <w:jc w:val="left"/>
            </w:pPr>
            <w:r>
              <w:t xml:space="preserve">Insulated gloves, arc-flash suits, safety helmets</w:t>
            </w:r>
          </w:p>
        </w:tc>
        <w:tc>
          <w:tcPr/>
          <w:p>
            <w:pPr>
              <w:pStyle w:val="Compact"/>
              <w:jc w:val="left"/>
            </w:pPr>
            <w:r>
              <w:t xml:space="preserve">As per team size</w:t>
            </w:r>
          </w:p>
        </w:tc>
      </w:tr>
    </w:tbl>
    <w:bookmarkEnd w:id="23"/>
    <w:bookmarkStart w:id="24" w:name="safety-procedures"/>
    <w:p>
      <w:pPr>
        <w:pStyle w:val="Heading2"/>
      </w:pPr>
      <w:r>
        <w:t xml:space="preserve">4. Safety Procedures</w:t>
      </w:r>
    </w:p>
    <w:p>
      <w:pPr>
        <w:pStyle w:val="FirstParagraph"/>
      </w:pPr>
      <w:r>
        <w:rPr>
          <w:bCs/>
          <w:b/>
        </w:rPr>
        <w:t xml:space="preserve">WARNING:</w:t>
      </w:r>
      <w:r>
        <w:t xml:space="preserve"> </w:t>
      </w:r>
      <w:r>
        <w:t xml:space="preserve">Working with high-voltage equipment in Japan Tokyo involves significant risk of electric shock and arc flash. Strict adherence to the Lockout/Tagout (LOTO) procedures is mandatory.</w:t>
      </w:r>
    </w:p>
    <w:p>
      <w:pPr>
        <w:pStyle w:val="BodyText"/>
      </w:pPr>
      <w:r>
        <w:t xml:space="preserve">Before commencing any physical testing, the Electrical Engineer must conduct a comprehensive risk assessment. The following safety measures are non-negotiable:</w:t>
      </w:r>
    </w:p>
    <w:p>
      <w:pPr>
        <w:numPr>
          <w:ilvl w:val="0"/>
          <w:numId w:val="1002"/>
        </w:numPr>
        <w:pStyle w:val="Compact"/>
      </w:pPr>
      <w:r>
        <w:rPr>
          <w:bCs/>
          <w:b/>
        </w:rPr>
        <w:t xml:space="preserve">Isolation:</w:t>
      </w:r>
      <w:r>
        <w:t xml:space="preserve"> </w:t>
      </w:r>
      <w:r>
        <w:t xml:space="preserve">Ensure all relevant circuit breakers are open and mechanically locked.</w:t>
      </w:r>
    </w:p>
    <w:p>
      <w:pPr>
        <w:numPr>
          <w:ilvl w:val="0"/>
          <w:numId w:val="1002"/>
        </w:numPr>
        <w:pStyle w:val="Compact"/>
      </w:pPr>
      <w:r>
        <w:rPr>
          <w:bCs/>
          <w:b/>
        </w:rPr>
        <w:t xml:space="preserve">Grounding:</w:t>
      </w:r>
      <w:r>
        <w:t xml:space="preserve"> </w:t>
      </w:r>
      <w:r>
        <w:t xml:space="preserve">Apply temporary grounding wires to the test section to dissipate any residual charge.</w:t>
      </w:r>
    </w:p>
    <w:p>
      <w:pPr>
        <w:numPr>
          <w:ilvl w:val="0"/>
          <w:numId w:val="1002"/>
        </w:numPr>
        <w:pStyle w:val="Compact"/>
      </w:pPr>
      <w:r>
        <w:rPr>
          <w:bCs/>
          <w:b/>
        </w:rPr>
        <w:t xml:space="preserve">Perimeter Control:</w:t>
      </w:r>
      <w:r>
        <w:t xml:space="preserve"> </w:t>
      </w:r>
      <w:r>
        <w:t xml:space="preserve">Establish a safety perimeter around the testing area in the substation, clearly marked with warning signs in both Japanese and English.</w:t>
      </w:r>
    </w:p>
    <w:p>
      <w:pPr>
        <w:numPr>
          <w:ilvl w:val="0"/>
          <w:numId w:val="1002"/>
        </w:numPr>
        <w:pStyle w:val="Compact"/>
      </w:pPr>
      <w:r>
        <w:rPr>
          <w:bCs/>
          <w:b/>
        </w:rPr>
        <w:t xml:space="preserve">Emergency Response:</w:t>
      </w:r>
      <w:r>
        <w:t xml:space="preserve"> </w:t>
      </w:r>
      <w:r>
        <w:t xml:space="preserve">Verify that the emergency shutdown button is accessible and functional. Ensure the team is aware of the nearest hospital with electrical trauma capabilities in Tokyo.</w:t>
      </w:r>
    </w:p>
    <w:bookmarkEnd w:id="24"/>
    <w:bookmarkStart w:id="28" w:name="experimental-procedure"/>
    <w:p>
      <w:pPr>
        <w:pStyle w:val="Heading2"/>
      </w:pPr>
      <w:r>
        <w:t xml:space="preserve">5. Experimental Procedure</w:t>
      </w:r>
    </w:p>
    <w:bookmarkStart w:id="25" w:name="phase-1-simulation-setup"/>
    <w:p>
      <w:pPr>
        <w:pStyle w:val="Heading3"/>
      </w:pPr>
      <w:r>
        <w:t xml:space="preserve">5.1 Phase 1: Simulation Setup</w:t>
      </w:r>
    </w:p>
    <w:p>
      <w:pPr>
        <w:pStyle w:val="FirstParagraph"/>
      </w:pPr>
      <w:r>
        <w:t xml:space="preserve">The Electrical Engineer will configure the RTDS to model the Tokyo grid topology. The simulation must account for the unique frequency boundary between the 50Hz eastern grid and the 60Hz western grid. Initial tests will simulate a three-phase short circuit at a distance of 50km from the substation.</w:t>
      </w:r>
    </w:p>
    <w:bookmarkEnd w:id="25"/>
    <w:bookmarkStart w:id="26" w:name="phase-2-hardware-calibration"/>
    <w:p>
      <w:pPr>
        <w:pStyle w:val="Heading3"/>
      </w:pPr>
      <w:r>
        <w:t xml:space="preserve">5.2 Phase 2: Hardware Calibration</w:t>
      </w:r>
    </w:p>
    <w:p>
      <w:pPr>
        <w:pStyle w:val="FirstParagraph"/>
      </w:pPr>
      <w:r>
        <w:t xml:space="preserve">Connect the measurement instruments to the test rig. Perform a zero-check on all sensors. Verify the communication link between the RTDS and the physical protection relays. Ensure that the data logging system is synchronized with the Japan Standard Time (JST).</w:t>
      </w:r>
    </w:p>
    <w:bookmarkEnd w:id="26"/>
    <w:bookmarkStart w:id="27" w:name="phase-3-execution-of-tests"/>
    <w:p>
      <w:pPr>
        <w:pStyle w:val="Heading3"/>
      </w:pPr>
      <w:r>
        <w:t xml:space="preserve">5.3 Phase 3: Execution of Tests</w:t>
      </w:r>
    </w:p>
    <w:p>
      <w:pPr>
        <w:pStyle w:val="FirstParagraph"/>
      </w:pPr>
      <w:r>
        <w:t xml:space="preserve">Execute the following test sequences:</w:t>
      </w:r>
    </w:p>
    <w:p>
      <w:pPr>
        <w:numPr>
          <w:ilvl w:val="0"/>
          <w:numId w:val="1003"/>
        </w:numPr>
        <w:pStyle w:val="Compact"/>
      </w:pPr>
      <w:r>
        <w:rPr>
          <w:bCs/>
          <w:b/>
        </w:rPr>
        <w:t xml:space="preserve">Load Step Test:</w:t>
      </w:r>
      <w:r>
        <w:t xml:space="preserve"> </w:t>
      </w:r>
      <w:r>
        <w:t xml:space="preserve">Gradually increase the load on the transmission line by 10% increments up to 120% of rated capacity. Monitor voltage stability and frequency deviation.</w:t>
      </w:r>
    </w:p>
    <w:p>
      <w:pPr>
        <w:numPr>
          <w:ilvl w:val="0"/>
          <w:numId w:val="1003"/>
        </w:numPr>
        <w:pStyle w:val="Compact"/>
      </w:pPr>
      <w:r>
        <w:rPr>
          <w:bCs/>
          <w:b/>
        </w:rPr>
        <w:t xml:space="preserve">Fault Injection Test:</w:t>
      </w:r>
      <w:r>
        <w:t xml:space="preserve"> </w:t>
      </w:r>
      <w:r>
        <w:t xml:space="preserve">Simulate a single-line-to-ground fault. Measure the response time of the protection relays. The target response time is less than 50 milliseconds.</w:t>
      </w:r>
    </w:p>
    <w:p>
      <w:pPr>
        <w:numPr>
          <w:ilvl w:val="0"/>
          <w:numId w:val="1003"/>
        </w:numPr>
        <w:pStyle w:val="Compact"/>
      </w:pPr>
      <w:r>
        <w:rPr>
          <w:bCs/>
          <w:b/>
        </w:rPr>
        <w:t xml:space="preserve">Frequency Restoration Test:</w:t>
      </w:r>
      <w:r>
        <w:t xml:space="preserve"> </w:t>
      </w:r>
      <w:r>
        <w:t xml:space="preserve">Simulate a sudden loss of generation capacity. Observe the automatic generation control (AGC) response to restore frequency to 50Hz.</w:t>
      </w:r>
    </w:p>
    <w:bookmarkEnd w:id="27"/>
    <w:bookmarkEnd w:id="28"/>
    <w:bookmarkStart w:id="29" w:name="data-analysis-and-reporting"/>
    <w:p>
      <w:pPr>
        <w:pStyle w:val="Heading2"/>
      </w:pPr>
      <w:r>
        <w:t xml:space="preserve">6. Data Analysis and Reporting</w:t>
      </w:r>
    </w:p>
    <w:p>
      <w:pPr>
        <w:pStyle w:val="FirstParagraph"/>
      </w:pPr>
      <w:r>
        <w:t xml:space="preserve">Upon completion of the tests, the Electrical Engineer must analyze the collected data. Key performance indicators (KPIs) include voltage sag magnitude, frequency deviation, and relay operation accuracy. Any anomalies must be documented in detail.</w:t>
      </w:r>
    </w:p>
    <w:p>
      <w:pPr>
        <w:pStyle w:val="BodyText"/>
      </w:pPr>
      <w:r>
        <w:t xml:space="preserve">The final report must be submitted to the project manager and the relevant regulatory bodies in Japan Tokyo. The report should include recommendations for any necessary upgrades to the grid infrastructure to enhance resilience against future disturbances.</w:t>
      </w:r>
    </w:p>
    <w:bookmarkEnd w:id="29"/>
    <w:bookmarkStart w:id="30" w:name="conclusion"/>
    <w:p>
      <w:pPr>
        <w:pStyle w:val="Heading2"/>
      </w:pPr>
      <w:r>
        <w:t xml:space="preserve">7. Conclusion</w:t>
      </w:r>
    </w:p>
    <w:p>
      <w:pPr>
        <w:pStyle w:val="FirstParagraph"/>
      </w:pPr>
      <w:r>
        <w:t xml:space="preserve">This Experiment Protocol serves as the definitive guide for conducting high-voltage grid stability tests in Tokyo. By following these procedures, the Electrical Engineer ensures the safety of personnel, the integrity of the equipment, and the reliability of the power supply for the greater Tokyo area. Continuous improvement of these protocols is essential to meet the evolving demands of Japan's energy landscape.</w:t>
      </w:r>
    </w:p>
    <w:bookmarkEnd w:id="30"/>
    <w:p>
      <w:pPr>
        <w:pStyle w:val="BodyText"/>
      </w:pPr>
      <w:r>
        <w:rPr>
          <w:bCs/>
          <w:b/>
        </w:rPr>
        <w:t xml:space="preserve">Approved By:</w:t>
      </w:r>
      <w:r>
        <w:t xml:space="preserve"> </w:t>
      </w:r>
      <w:r>
        <w:t xml:space="preserve">[Name], Chief Electrical Engineer</w:t>
      </w:r>
      <w:r>
        <w:br/>
      </w:r>
      <w:r>
        <w:rPr>
          <w:bCs/>
          <w:b/>
        </w:rPr>
        <w:t xml:space="preserve">Organization:</w:t>
      </w:r>
      <w:r>
        <w:t xml:space="preserve"> </w:t>
      </w:r>
      <w:r>
        <w:t xml:space="preserve">Tokyo Power Grid Research Institute</w:t>
      </w:r>
      <w:r>
        <w:br/>
      </w:r>
      <w:r>
        <w:rPr>
          <w:bCs/>
          <w:b/>
        </w:rPr>
        <w:t xml:space="preserve">Location:</w:t>
      </w:r>
      <w:r>
        <w:t xml:space="preserve"> </w:t>
      </w:r>
      <w:r>
        <w:t xml:space="preserve">Chiyoda-ku, Tokyo, Japan</w:t>
      </w:r>
      <w:r>
        <w:br/>
      </w: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2026-10-10T06:11:17Z</dcterms:created>
  <dcterms:modified xsi:type="dcterms:W3CDTF">2026-10-10T06:11:17Z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