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Power</w:t>
      </w:r>
      <w:r>
        <w:t xml:space="preserve"> </w:t>
      </w:r>
      <w:r>
        <w:t xml:space="preserve">Quality</w:t>
      </w:r>
      <w:r>
        <w:t xml:space="preserve"> </w:t>
      </w:r>
      <w:r>
        <w:t xml:space="preserve">Analysis</w:t>
      </w:r>
    </w:p>
    <w:bookmarkStart w:id="30" w:name="Xe225c1b4cf126e4f28ef3db85640532a2f3511a"/>
    <w:p>
      <w:pPr>
        <w:pStyle w:val="Heading1"/>
      </w:pPr>
      <w:r>
        <w:t xml:space="preserve">Experiment Protocol: High-Voltage Power Quality Analysis in Urban Distribution Networks</w:t>
      </w:r>
    </w:p>
    <w:p>
      <w:pPr>
        <w:pStyle w:val="FirstParagraph"/>
      </w:pPr>
      <w:r>
        <w:rPr>
          <w:bCs/>
          <w:b/>
        </w:rPr>
        <w:t xml:space="preserve">Document ID:</w:t>
      </w:r>
      <w:r>
        <w:t xml:space="preserve"> </w:t>
      </w:r>
      <w:r>
        <w:t xml:space="preserve">KL-EE-2023-PQ-001</w:t>
      </w:r>
    </w:p>
    <w:p>
      <w:pPr>
        <w:pStyle w:val="BodyText"/>
      </w:pPr>
      <w:r>
        <w:rPr>
          <w:bCs/>
          <w:b/>
        </w:rPr>
        <w:t xml:space="preserve">Location:</w:t>
      </w:r>
      <w:r>
        <w:t xml:space="preserve"> </w:t>
      </w:r>
      <w:r>
        <w:t xml:space="preserve">Kuala Lumpur, Malaysia</w:t>
      </w:r>
    </w:p>
    <w:p>
      <w:pPr>
        <w:pStyle w:val="BodyText"/>
      </w:pPr>
      <w:r>
        <w:rPr>
          <w:bCs/>
          <w:b/>
        </w:rPr>
        <w:t xml:space="preserve">Role:</w:t>
      </w:r>
      <w:r>
        <w:t xml:space="preserve"> </w:t>
      </w:r>
      <w:r>
        <w:t xml:space="preserve">Senior Electrical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Implementation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power quality assessments within the high-density urban grid of Kuala Lumpur, Malaysia. As the capital city experiences rapid industrialization and increased load demand, the stability of the electrical supply is paramount. The primary objective of this experiment is to measure voltage sags, swells, harmonics, and flicker levels in commercial distribution transformers located in the Bukit Bintang and KL Sentral districts.</w:t>
      </w:r>
    </w:p>
    <w:p>
      <w:pPr>
        <w:pStyle w:val="BodyText"/>
      </w:pPr>
      <w:r>
        <w:t xml:space="preserve">The Electrical Engineer leading this project is responsible for ensuring that all measurements comply with the Malaysian Standard MS IEC 61000-4-30 and the regulatory requirements set forth by the Energy Commission of Malaysia (Suruhanjaya Tenaga). This document serves as the definitive guide for the experimental setup, data acquisition, and safety protocols required to execute this analysis effectively.</w:t>
      </w:r>
    </w:p>
    <w:bookmarkEnd w:id="20"/>
    <w:bookmarkStart w:id="21" w:name="scope-of-work"/>
    <w:p>
      <w:pPr>
        <w:pStyle w:val="Heading2"/>
      </w:pPr>
      <w:r>
        <w:t xml:space="preserve">2. Scope of Work</w:t>
      </w:r>
    </w:p>
    <w:p>
      <w:pPr>
        <w:pStyle w:val="FirstParagraph"/>
      </w:pPr>
      <w:r>
        <w:t xml:space="preserve">The scope of this experiment is limited to the low-voltage (415V/240V) side of distribution transformers within the Kuala Lumpur metropolitan area. The Electrical Engineer will deploy Class A power quality analyzers to capture data over a continuous period of 14 days. The analysis will focus on identifying the root causes of power disturbances affecting sensitive electronic equipment in commercial buildings.</w:t>
      </w:r>
    </w:p>
    <w:bookmarkEnd w:id="21"/>
    <w:bookmarkStart w:id="22" w:name="safety-protocols-and-compliance"/>
    <w:p>
      <w:pPr>
        <w:pStyle w:val="Heading2"/>
      </w:pPr>
      <w:r>
        <w:t xml:space="preserve">3. Safety Protocols and Compliance</w:t>
      </w:r>
    </w:p>
    <w:p>
      <w:pPr>
        <w:pStyle w:val="FirstParagraph"/>
      </w:pPr>
      <w:r>
        <w:rPr>
          <w:bCs/>
          <w:b/>
        </w:rPr>
        <w:t xml:space="preserve">CRITICAL SAFETY WARNING:</w:t>
      </w:r>
      <w:r>
        <w:t xml:space="preserve"> </w:t>
      </w:r>
      <w:r>
        <w:t xml:space="preserve">Working with high-voltage equipment in Kuala Lumpur presents significant risks. All personnel must strictly adhere to the Occupational Safety and Health Act 1994 (OSHA) and the Electricity Supply Act 1990.</w:t>
      </w:r>
    </w:p>
    <w:p>
      <w:pPr>
        <w:pStyle w:val="BodyText"/>
      </w:pPr>
      <w:r>
        <w:t xml:space="preserve">Before commencing any fieldwork, the Electrical Engineer must conduct a Job Safety Analysis (JSA). The following safety measures are mandatory:</w:t>
      </w:r>
    </w:p>
    <w:p>
      <w:pPr>
        <w:numPr>
          <w:ilvl w:val="0"/>
          <w:numId w:val="1001"/>
        </w:numPr>
        <w:pStyle w:val="Compact"/>
      </w:pPr>
      <w:r>
        <w:rPr>
          <w:bCs/>
          <w:b/>
        </w:rPr>
        <w:t xml:space="preserve">Personal Protective Equipment (PPE):</w:t>
      </w:r>
      <w:r>
        <w:t xml:space="preserve"> </w:t>
      </w:r>
      <w:r>
        <w:t xml:space="preserve">All engineers must wear arc-flash rated clothing, insulated gloves (Class 00 minimum), safety boots, and hard hats.</w:t>
      </w:r>
    </w:p>
    <w:p>
      <w:pPr>
        <w:numPr>
          <w:ilvl w:val="0"/>
          <w:numId w:val="1001"/>
        </w:numPr>
        <w:pStyle w:val="Compact"/>
      </w:pPr>
      <w:r>
        <w:rPr>
          <w:bCs/>
          <w:b/>
        </w:rPr>
        <w:t xml:space="preserve">Lockout/Tagout (LOTO):</w:t>
      </w:r>
      <w:r>
        <w:t xml:space="preserve"> </w:t>
      </w:r>
      <w:r>
        <w:t xml:space="preserve">Strict LOTO procedures must be implemented when accessing switchgear panels to prevent accidental energization.</w:t>
      </w:r>
    </w:p>
    <w:p>
      <w:pPr>
        <w:numPr>
          <w:ilvl w:val="0"/>
          <w:numId w:val="1001"/>
        </w:numPr>
        <w:pStyle w:val="Compact"/>
      </w:pPr>
      <w:r>
        <w:rPr>
          <w:bCs/>
          <w:b/>
        </w:rPr>
        <w:t xml:space="preserve">Permit to Work:</w:t>
      </w:r>
      <w:r>
        <w:t xml:space="preserve"> </w:t>
      </w:r>
      <w:r>
        <w:t xml:space="preserve">A valid Permit to Work (PTW) must be obtained from the facility manager and Tenaga Nasional Berhad (TNB) if grid-side work is involved.</w:t>
      </w:r>
    </w:p>
    <w:p>
      <w:pPr>
        <w:numPr>
          <w:ilvl w:val="0"/>
          <w:numId w:val="1001"/>
        </w:numPr>
        <w:pStyle w:val="Compact"/>
      </w:pPr>
      <w:r>
        <w:rPr>
          <w:bCs/>
          <w:b/>
        </w:rPr>
        <w:t xml:space="preserve">Environmental Considerations:</w:t>
      </w:r>
      <w:r>
        <w:t xml:space="preserve"> </w:t>
      </w:r>
      <w:r>
        <w:t xml:space="preserve">Given the tropical climate of Malaysia, engineers must monitor for heat stress and ensure equipment is protected from sudden tropical downpours.</w:t>
      </w:r>
    </w:p>
    <w:bookmarkEnd w:id="22"/>
    <w:bookmarkStart w:id="23" w:name="equipment-and-instrumentation"/>
    <w:p>
      <w:pPr>
        <w:pStyle w:val="Heading2"/>
      </w:pPr>
      <w:r>
        <w:t xml:space="preserve">4. Equipment and Instrumentation</w:t>
      </w:r>
    </w:p>
    <w:p>
      <w:pPr>
        <w:pStyle w:val="FirstParagraph"/>
      </w:pPr>
      <w:r>
        <w:t xml:space="preserve">The accuracy of the experiment relies on the calibration and suitability of the instrumentation. The Electrical Engineer must verify the following equipment prior to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Class A, compliant with MS IEC 61000-4-30</w:t>
            </w:r>
          </w:p>
        </w:tc>
        <w:tc>
          <w:tcPr/>
          <w:p>
            <w:pPr>
              <w:pStyle w:val="Compact"/>
              <w:jc w:val="left"/>
            </w:pPr>
            <w:r>
              <w:t xml:space="preserve">4 Units</w:t>
            </w:r>
          </w:p>
        </w:tc>
      </w:tr>
      <w:tr>
        <w:tc>
          <w:tcPr/>
          <w:p>
            <w:pPr>
              <w:pStyle w:val="Compact"/>
              <w:jc w:val="left"/>
            </w:pPr>
            <w:r>
              <w:t xml:space="preserve">Current Transformers (CTs)</w:t>
            </w:r>
          </w:p>
        </w:tc>
        <w:tc>
          <w:tcPr/>
          <w:p>
            <w:pPr>
              <w:pStyle w:val="Compact"/>
              <w:jc w:val="left"/>
            </w:pPr>
            <w:r>
              <w:t xml:space="preserve">Split-core, 1000A/5A ratio, 0.5 class accuracy</w:t>
            </w:r>
          </w:p>
        </w:tc>
        <w:tc>
          <w:tcPr/>
          <w:p>
            <w:pPr>
              <w:pStyle w:val="Compact"/>
              <w:jc w:val="left"/>
            </w:pPr>
            <w:r>
              <w:t xml:space="preserve">12 Sets</w:t>
            </w:r>
          </w:p>
        </w:tc>
      </w:tr>
      <w:tr>
        <w:tc>
          <w:tcPr/>
          <w:p>
            <w:pPr>
              <w:pStyle w:val="Compact"/>
              <w:jc w:val="left"/>
            </w:pPr>
            <w:r>
              <w:t xml:space="preserve">Voltage Probes</w:t>
            </w:r>
          </w:p>
        </w:tc>
        <w:tc>
          <w:tcPr/>
          <w:p>
            <w:pPr>
              <w:pStyle w:val="Compact"/>
              <w:jc w:val="left"/>
            </w:pPr>
            <w:r>
              <w:t xml:space="preserve">High-impedance, rated for 600V AC</w:t>
            </w:r>
          </w:p>
        </w:tc>
        <w:tc>
          <w:tcPr/>
          <w:p>
            <w:pPr>
              <w:pStyle w:val="Compact"/>
              <w:jc w:val="left"/>
            </w:pPr>
            <w:r>
              <w:t xml:space="preserve">12 Sets</w:t>
            </w:r>
          </w:p>
        </w:tc>
      </w:tr>
      <w:tr>
        <w:tc>
          <w:tcPr/>
          <w:p>
            <w:pPr>
              <w:pStyle w:val="Compact"/>
              <w:jc w:val="left"/>
            </w:pPr>
            <w:r>
              <w:t xml:space="preserve">Calibration Certificate</w:t>
            </w:r>
          </w:p>
        </w:tc>
        <w:tc>
          <w:tcPr/>
          <w:p>
            <w:pPr>
              <w:pStyle w:val="Compact"/>
              <w:jc w:val="left"/>
            </w:pPr>
            <w:r>
              <w:t xml:space="preserve">Valid within the last 12 months from SIRIM QAS International</w:t>
            </w:r>
          </w:p>
        </w:tc>
        <w:tc>
          <w:tcPr/>
          <w:p>
            <w:pPr>
              <w:pStyle w:val="Compact"/>
              <w:jc w:val="left"/>
            </w:pPr>
            <w:r>
              <w:t xml:space="preserve">1 per device</w:t>
            </w:r>
          </w:p>
        </w:tc>
      </w:tr>
    </w:tbl>
    <w:bookmarkEnd w:id="23"/>
    <w:bookmarkStart w:id="28" w:name="experimental-procedure"/>
    <w:p>
      <w:pPr>
        <w:pStyle w:val="Heading2"/>
      </w:pPr>
      <w:r>
        <w:t xml:space="preserve">5. Experimental Procedure</w:t>
      </w:r>
    </w:p>
    <w:bookmarkStart w:id="24" w:name="site-preparation"/>
    <w:p>
      <w:pPr>
        <w:pStyle w:val="Heading3"/>
      </w:pPr>
      <w:r>
        <w:t xml:space="preserve">5.1 Site Preparation</w:t>
      </w:r>
    </w:p>
    <w:p>
      <w:pPr>
        <w:pStyle w:val="FirstParagraph"/>
      </w:pPr>
      <w:r>
        <w:t xml:space="preserve">Upon arrival at the designated site in Kuala Lumpur, the Electrical Engineer must inspect the electrical room for ventilation and accessibility. Ensure that the distribution board is clearly labeled and that there is sufficient space to mount the power quality analyzers without obstructing emergency access.</w:t>
      </w:r>
    </w:p>
    <w:bookmarkEnd w:id="24"/>
    <w:bookmarkStart w:id="25" w:name="instrument-installation"/>
    <w:p>
      <w:pPr>
        <w:pStyle w:val="Heading3"/>
      </w:pPr>
      <w:r>
        <w:t xml:space="preserve">5.2 Instrument Installation</w:t>
      </w:r>
    </w:p>
    <w:p>
      <w:pPr>
        <w:pStyle w:val="FirstParagraph"/>
      </w:pPr>
      <w:r>
        <w:t xml:space="preserve">Follow these steps for installation:</w:t>
      </w:r>
    </w:p>
    <w:p>
      <w:pPr>
        <w:numPr>
          <w:ilvl w:val="0"/>
          <w:numId w:val="1002"/>
        </w:numPr>
        <w:pStyle w:val="Compact"/>
      </w:pPr>
      <w:r>
        <w:t xml:space="preserve">De-energize the specific circuit if required for safe CT installation, following LOTO procedures.</w:t>
      </w:r>
    </w:p>
    <w:p>
      <w:pPr>
        <w:numPr>
          <w:ilvl w:val="0"/>
          <w:numId w:val="1002"/>
        </w:numPr>
        <w:pStyle w:val="Compact"/>
      </w:pPr>
      <w:r>
        <w:t xml:space="preserve">Install the Current Transformers (CTs) on the main incomer busbars, ensuring the polarity arrow points towards the load.</w:t>
      </w:r>
    </w:p>
    <w:p>
      <w:pPr>
        <w:numPr>
          <w:ilvl w:val="0"/>
          <w:numId w:val="1002"/>
        </w:numPr>
        <w:pStyle w:val="Compact"/>
      </w:pPr>
      <w:r>
        <w:t xml:space="preserve">Connect the voltage probes to the phase terminals (R, S, T) and the neutral (N) point. Verify that the voltage levels are within the nominal 415V three-phase range.</w:t>
      </w:r>
    </w:p>
    <w:p>
      <w:pPr>
        <w:numPr>
          <w:ilvl w:val="0"/>
          <w:numId w:val="1002"/>
        </w:numPr>
        <w:pStyle w:val="Compact"/>
      </w:pPr>
      <w:r>
        <w:t xml:space="preserve">Configure the Power Quality Analyzer settings: Set the sampling rate to 16 kHz, enable harmonic analysis up to the 50th order, and set the reference voltage to 230V/415V.</w:t>
      </w:r>
    </w:p>
    <w:p>
      <w:pPr>
        <w:numPr>
          <w:ilvl w:val="0"/>
          <w:numId w:val="1002"/>
        </w:numPr>
        <w:pStyle w:val="Compact"/>
      </w:pPr>
      <w:r>
        <w:t xml:space="preserve">Secure all connections and enclose the equipment in a protective housing to prevent dust and moisture ingress, common in the Malaysian environment.</w:t>
      </w:r>
    </w:p>
    <w:bookmarkEnd w:id="25"/>
    <w:bookmarkStart w:id="26" w:name="data-acquisition"/>
    <w:p>
      <w:pPr>
        <w:pStyle w:val="Heading3"/>
      </w:pPr>
      <w:r>
        <w:t xml:space="preserve">5.3 Data Acquisition</w:t>
      </w:r>
    </w:p>
    <w:p>
      <w:pPr>
        <w:pStyle w:val="FirstParagraph"/>
      </w:pPr>
      <w:r>
        <w:t xml:space="preserve">Initiate the recording process. The Electrical Engineer must verify that data is being logged correctly for the first 24 hours. Remote monitoring capabilities should be utilized to check for connectivity issues. If the site is in a high-rise building in KLCC, ensure that the data transmission module has adequate signal strength.</w:t>
      </w:r>
    </w:p>
    <w:bookmarkEnd w:id="26"/>
    <w:bookmarkStart w:id="27" w:name="data-retrieval-and-analysis"/>
    <w:p>
      <w:pPr>
        <w:pStyle w:val="Heading3"/>
      </w:pPr>
      <w:r>
        <w:t xml:space="preserve">5.4 Data Retrieval and Analysis</w:t>
      </w:r>
    </w:p>
    <w:p>
      <w:pPr>
        <w:pStyle w:val="FirstParagraph"/>
      </w:pPr>
      <w:r>
        <w:t xml:space="preserve">After the 14-day monitoring period, retrieve the analyzers. The Electrical Engineer will download the data and perform the following analysis:</w:t>
      </w:r>
    </w:p>
    <w:p>
      <w:pPr>
        <w:numPr>
          <w:ilvl w:val="0"/>
          <w:numId w:val="1003"/>
        </w:numPr>
        <w:pStyle w:val="Compact"/>
      </w:pPr>
      <w:r>
        <w:t xml:space="preserve">Calculate the Total Demand Distortion (TDD) for current harmonics.</w:t>
      </w:r>
    </w:p>
    <w:p>
      <w:pPr>
        <w:numPr>
          <w:ilvl w:val="0"/>
          <w:numId w:val="1003"/>
        </w:numPr>
        <w:pStyle w:val="Compact"/>
      </w:pPr>
      <w:r>
        <w:t xml:space="preserve">Identify voltage sag events exceeding 10% deviation for durations between 10ms and 1 minute.</w:t>
      </w:r>
    </w:p>
    <w:p>
      <w:pPr>
        <w:numPr>
          <w:ilvl w:val="0"/>
          <w:numId w:val="1003"/>
        </w:numPr>
        <w:pStyle w:val="Compact"/>
      </w:pPr>
      <w:r>
        <w:t xml:space="preserve">Correlate power quality events with local load profiles, such as air conditioning cycling peaks common in Kuala Lumpur's climate.</w:t>
      </w:r>
    </w:p>
    <w:bookmarkEnd w:id="27"/>
    <w:bookmarkEnd w:id="28"/>
    <w:bookmarkStart w:id="29" w:name="reporting-and-documentation"/>
    <w:p>
      <w:pPr>
        <w:pStyle w:val="Heading2"/>
      </w:pPr>
      <w:r>
        <w:t xml:space="preserve">6. Reporting and Documentation</w:t>
      </w:r>
    </w:p>
    <w:p>
      <w:pPr>
        <w:pStyle w:val="FirstParagraph"/>
      </w:pPr>
      <w:r>
        <w:t xml:space="preserve">The final report must be submitted in accordance with the guidelines of the Energy Commission of Malaysia. The report should include:</w:t>
      </w:r>
    </w:p>
    <w:p>
      <w:pPr>
        <w:numPr>
          <w:ilvl w:val="0"/>
          <w:numId w:val="1004"/>
        </w:numPr>
        <w:pStyle w:val="Compact"/>
      </w:pPr>
      <w:r>
        <w:t xml:space="preserve">Executive summary of findings.</w:t>
      </w:r>
    </w:p>
    <w:p>
      <w:pPr>
        <w:numPr>
          <w:ilvl w:val="0"/>
          <w:numId w:val="1004"/>
        </w:numPr>
        <w:pStyle w:val="Compact"/>
      </w:pPr>
      <w:r>
        <w:t xml:space="preserve">Detailed statistical analysis of power quality parameters.</w:t>
      </w:r>
    </w:p>
    <w:p>
      <w:pPr>
        <w:numPr>
          <w:ilvl w:val="0"/>
          <w:numId w:val="1004"/>
        </w:numPr>
        <w:pStyle w:val="Compact"/>
      </w:pPr>
      <w:r>
        <w:t xml:space="preserve">Recommendations for mitigation, such as the installation of Active Harmonic Filters (AHF) or Uninterruptible Power Supplies (UPS).</w:t>
      </w:r>
    </w:p>
    <w:p>
      <w:pPr>
        <w:numPr>
          <w:ilvl w:val="0"/>
          <w:numId w:val="1004"/>
        </w:numPr>
        <w:pStyle w:val="Compact"/>
      </w:pPr>
      <w:r>
        <w:t xml:space="preserve">Compliance statement regarding MS IEC standards.</w:t>
      </w:r>
    </w:p>
    <w:p>
      <w:pPr>
        <w:pStyle w:val="FirstParagraph"/>
      </w:pPr>
      <w:r>
        <w:t xml:space="preserve">This Experiment Protocol ensures that the Electrical Engineer operates with precision, safety, and regulatory compliance, contributing to the reliability of the electrical infrastructure in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Power Quality Analysis</dc:title>
  <dc:creator/>
  <dc:language>en</dc:language>
  <cp:keywords/>
  <dcterms:created xsi:type="dcterms:W3CDTF">2026-10-10T06:16:17Z</dcterms:created>
  <dcterms:modified xsi:type="dcterms:W3CDTF">2026-10-10T06:16:17Z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