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High-Voltage</w:t>
      </w:r>
      <w:r>
        <w:t xml:space="preserve"> </w:t>
      </w:r>
      <w:r>
        <w:t xml:space="preserve">Grid</w:t>
      </w:r>
      <w:r>
        <w:t xml:space="preserve"> </w:t>
      </w:r>
      <w:r>
        <w:t xml:space="preserve">Stability</w:t>
      </w:r>
      <w:r>
        <w:t xml:space="preserve"> </w:t>
      </w:r>
      <w:r>
        <w:t xml:space="preserve">Analysis</w:t>
      </w:r>
    </w:p>
    <w:p>
      <w:pPr>
        <w:pStyle w:val="FirstParagraph"/>
      </w:pPr>
      <w:r>
        <w:rPr>
          <w:bCs/>
          <w:b/>
        </w:rPr>
        <w:t xml:space="preserve">Document ID:</w:t>
      </w:r>
      <w:r>
        <w:t xml:space="preserve"> </w:t>
      </w:r>
      <w:r>
        <w:t xml:space="preserve">EP-AMST-2023-042</w:t>
      </w:r>
      <w:r>
        <w:br/>
      </w:r>
      <w:r>
        <w:rPr>
          <w:bCs/>
          <w:b/>
        </w:rPr>
        <w:t xml:space="preserve">Version:</w:t>
      </w:r>
      <w:r>
        <w:t xml:space="preserve"> </w:t>
      </w:r>
      <w:r>
        <w:t xml:space="preserve">1.0</w:t>
      </w:r>
      <w:r>
        <w:br/>
      </w:r>
      <w:r>
        <w:rPr>
          <w:bCs/>
          <w:b/>
        </w:rPr>
        <w:t xml:space="preserve">Date:</w:t>
      </w:r>
      <w:r>
        <w:t xml:space="preserve"> </w:t>
      </w:r>
      <w:r>
        <w:t xml:space="preserve">October 24, 2023</w:t>
      </w:r>
    </w:p>
    <w:p>
      <w:pPr>
        <w:pStyle w:val="BodyText"/>
      </w:pPr>
      <w:r>
        <w:rPr>
          <w:bCs/>
          <w:b/>
        </w:rPr>
        <w:t xml:space="preserve">Location:</w:t>
      </w:r>
      <w:r>
        <w:t xml:space="preserve"> </w:t>
      </w:r>
      <w:r>
        <w:t xml:space="preserve">Amsterdam, Netherlands</w:t>
      </w:r>
      <w:r>
        <w:br/>
      </w:r>
      <w:r>
        <w:rPr>
          <w:bCs/>
          <w:b/>
        </w:rPr>
        <w:t xml:space="preserve">Department:</w:t>
      </w:r>
      <w:r>
        <w:t xml:space="preserve"> </w:t>
      </w:r>
      <w:r>
        <w:t xml:space="preserve">Power Systems Research</w:t>
      </w:r>
      <w:r>
        <w:br/>
      </w:r>
      <w:r>
        <w:rPr>
          <w:bCs/>
          <w:b/>
        </w:rPr>
        <w:t xml:space="preserve">Classification:</w:t>
      </w:r>
      <w:r>
        <w:t xml:space="preserve"> </w:t>
      </w:r>
      <w:r>
        <w:t xml:space="preserve">Internal Use Only</w:t>
      </w:r>
    </w:p>
    <w:bookmarkStart w:id="29" w:name="X10d4ab0716bcba8a921d5d37d4b193e819eedaa"/>
    <w:p>
      <w:pPr>
        <w:pStyle w:val="Heading1"/>
      </w:pPr>
      <w:r>
        <w:t xml:space="preserve">Experiment Protocol: High-Voltage Grid Stability Analysis</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conducting high-voltage grid stability tests within the metropolitan area of Amsterdam, Netherlands. As an Electrical Engineer operating in this region, adherence to this protocol is mandatory to ensure the reliability of the local power infrastructure, which is critical for the dense urban environment and the growing demand for renewable energy integration.</w:t>
      </w:r>
    </w:p>
    <w:p>
      <w:pPr>
        <w:pStyle w:val="BodyText"/>
      </w:pPr>
      <w:r>
        <w:t xml:space="preserve">The primary objective of this experiment is to evaluate the transient stability of the 150 kV transmission network under simulated fault conditions. Specifically, this protocol aims to assess the performance of protective relays and circuit breakers in accordance with the technical standards set by TenneT TSO and the local distribution system operator, Stedin. The findings will contribute to the broader goal of enhancing grid resilience in the Netherlands against increasing load fluctuations caused by electric vehicle charging stations and industrial electrification.</w:t>
      </w:r>
    </w:p>
    <w:bookmarkEnd w:id="20"/>
    <w:bookmarkStart w:id="21" w:name="Xc1bf6019d7c7f546cd756b019a9b2d8bdab0c79"/>
    <w:p>
      <w:pPr>
        <w:pStyle w:val="Heading2"/>
      </w:pPr>
      <w:r>
        <w:t xml:space="preserve">2. Regulatory Compliance and Safety Standards</w:t>
      </w:r>
    </w:p>
    <w:p>
      <w:pPr>
        <w:pStyle w:val="FirstParagraph"/>
      </w:pPr>
      <w:r>
        <w:t xml:space="preserve">All activities described in this protocol must strictly comply with Dutch legislation and European directives. The Electrical Engineer leading this experiment is responsible for ensuring full adherence to the following regulations:</w:t>
      </w:r>
    </w:p>
    <w:p>
      <w:pPr>
        <w:numPr>
          <w:ilvl w:val="0"/>
          <w:numId w:val="1001"/>
        </w:numPr>
        <w:pStyle w:val="Compact"/>
      </w:pPr>
      <w:r>
        <w:rPr>
          <w:bCs/>
          <w:b/>
        </w:rPr>
        <w:t xml:space="preserve">Arbowet (Dutch Working Conditions Act):</w:t>
      </w:r>
      <w:r>
        <w:t xml:space="preserve"> </w:t>
      </w:r>
      <w:r>
        <w:t xml:space="preserve">Ensuring the safety and health of all personnel involved in the experiment.</w:t>
      </w:r>
    </w:p>
    <w:p>
      <w:pPr>
        <w:numPr>
          <w:ilvl w:val="0"/>
          <w:numId w:val="1001"/>
        </w:numPr>
        <w:pStyle w:val="Compact"/>
      </w:pPr>
      <w:r>
        <w:rPr>
          <w:bCs/>
          <w:b/>
        </w:rPr>
        <w:t xml:space="preserve">NEN 1010:</w:t>
      </w:r>
      <w:r>
        <w:t xml:space="preserve"> </w:t>
      </w:r>
      <w:r>
        <w:t xml:space="preserve">The Dutch standard for electrical installations up to 1000 V AC and 1500 V DC, which provides the baseline for safety procedures.</w:t>
      </w:r>
    </w:p>
    <w:p>
      <w:pPr>
        <w:numPr>
          <w:ilvl w:val="0"/>
          <w:numId w:val="1001"/>
        </w:numPr>
        <w:pStyle w:val="Compact"/>
      </w:pPr>
      <w:r>
        <w:rPr>
          <w:bCs/>
          <w:b/>
        </w:rPr>
        <w:t xml:space="preserve">NEN-EN 50110-1:</w:t>
      </w:r>
      <w:r>
        <w:t xml:space="preserve"> </w:t>
      </w:r>
      <w:r>
        <w:t xml:space="preserve">Guidelines for the operation of electrical installations.</w:t>
      </w:r>
    </w:p>
    <w:p>
      <w:pPr>
        <w:numPr>
          <w:ilvl w:val="0"/>
          <w:numId w:val="1001"/>
        </w:numPr>
        <w:pStyle w:val="Compact"/>
      </w:pPr>
      <w:r>
        <w:rPr>
          <w:bCs/>
          <w:b/>
        </w:rPr>
        <w:t xml:space="preserve">European Grid Code:</w:t>
      </w:r>
      <w:r>
        <w:t xml:space="preserve"> </w:t>
      </w:r>
      <w:r>
        <w:t xml:space="preserve">Compliance with network codes regarding system operation and connection requirements.</w:t>
      </w:r>
    </w:p>
    <w:p>
      <w:pPr>
        <w:pStyle w:val="FirstParagraph"/>
      </w:pPr>
      <w:r>
        <w:rPr>
          <w:bCs/>
          <w:b/>
        </w:rPr>
        <w:t xml:space="preserve">Note:</w:t>
      </w:r>
      <w:r>
        <w:t xml:space="preserve"> </w:t>
      </w:r>
      <w:r>
        <w:t xml:space="preserve">Before initiating any phase of the experiment, the Electrical Engineer must verify that all permits from the municipality of Amsterdam and relevant grid operators have been obtained. Non-compliance may result in immediate suspension of the experiment and legal penalties.</w:t>
      </w:r>
    </w:p>
    <w:bookmarkEnd w:id="21"/>
    <w:bookmarkStart w:id="22" w:name="equipment-and-materials"/>
    <w:p>
      <w:pPr>
        <w:pStyle w:val="Heading2"/>
      </w:pPr>
      <w:r>
        <w:t xml:space="preserve">3. Equipment and Materials</w:t>
      </w:r>
    </w:p>
    <w:p>
      <w:pPr>
        <w:pStyle w:val="FirstParagraph"/>
      </w:pPr>
      <w:r>
        <w:t xml:space="preserve">The following equipment is required for the execution of this experiment. All instruments must be calibrated and certified according to Dutch metrology standards.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High-Voltage Test Transformer</w:t>
            </w:r>
          </w:p>
        </w:tc>
        <w:tc>
          <w:tcPr/>
          <w:p>
            <w:pPr>
              <w:pStyle w:val="Compact"/>
              <w:jc w:val="left"/>
            </w:pPr>
            <w:r>
              <w:t xml:space="preserve">250 kV, 5 kVA, Oil-immersed</w:t>
            </w:r>
          </w:p>
        </w:tc>
        <w:tc>
          <w:tcPr/>
          <w:p>
            <w:pPr>
              <w:pStyle w:val="Compact"/>
              <w:jc w:val="left"/>
            </w:pPr>
            <w:r>
              <w:t xml:space="preserve">1</w:t>
            </w:r>
          </w:p>
        </w:tc>
      </w:tr>
      <w:tr>
        <w:tc>
          <w:tcPr/>
          <w:p>
            <w:pPr>
              <w:pStyle w:val="Compact"/>
              <w:jc w:val="left"/>
            </w:pPr>
            <w:r>
              <w:t xml:space="preserve">Digital Oscilloscope</w:t>
            </w:r>
          </w:p>
        </w:tc>
        <w:tc>
          <w:tcPr/>
          <w:p>
            <w:pPr>
              <w:pStyle w:val="Compact"/>
              <w:jc w:val="left"/>
            </w:pPr>
            <w:r>
              <w:t xml:space="preserve">Minimum 100 MHz bandwidth, 4 channels</w:t>
            </w:r>
          </w:p>
        </w:tc>
        <w:tc>
          <w:tcPr/>
          <w:p>
            <w:pPr>
              <w:pStyle w:val="Compact"/>
              <w:jc w:val="left"/>
            </w:pPr>
            <w:r>
              <w:t xml:space="preserve">2</w:t>
            </w:r>
          </w:p>
        </w:tc>
      </w:tr>
      <w:tr>
        <w:tc>
          <w:tcPr/>
          <w:p>
            <w:pPr>
              <w:pStyle w:val="Compact"/>
              <w:jc w:val="left"/>
            </w:pPr>
            <w:r>
              <w:t xml:space="preserve">Power Quality Analyzer</w:t>
            </w:r>
          </w:p>
        </w:tc>
        <w:tc>
          <w:tcPr/>
          <w:p>
            <w:pPr>
              <w:pStyle w:val="Compact"/>
              <w:jc w:val="left"/>
            </w:pPr>
            <w:r>
              <w:t xml:space="preserve">Class A, compliant with IEC 61000-4-30</w:t>
            </w:r>
          </w:p>
        </w:tc>
        <w:tc>
          <w:tcPr/>
          <w:p>
            <w:pPr>
              <w:pStyle w:val="Compact"/>
              <w:jc w:val="left"/>
            </w:pPr>
            <w:r>
              <w:t xml:space="preserve">1</w:t>
            </w:r>
          </w:p>
        </w:tc>
      </w:tr>
      <w:tr>
        <w:tc>
          <w:tcPr/>
          <w:p>
            <w:pPr>
              <w:pStyle w:val="Compact"/>
              <w:jc w:val="left"/>
            </w:pPr>
            <w:r>
              <w:t xml:space="preserve">Personal Protective Equipment (PPE)</w:t>
            </w:r>
          </w:p>
        </w:tc>
        <w:tc>
          <w:tcPr/>
          <w:p>
            <w:pPr>
              <w:pStyle w:val="Compact"/>
              <w:jc w:val="left"/>
            </w:pPr>
            <w:r>
              <w:t xml:space="preserve">Insulated gloves (Class 00), arc-flash suit, safety glasses</w:t>
            </w:r>
          </w:p>
        </w:tc>
        <w:tc>
          <w:tcPr/>
          <w:p>
            <w:pPr>
              <w:pStyle w:val="Compact"/>
              <w:jc w:val="left"/>
            </w:pPr>
            <w:r>
              <w:t xml:space="preserve">Per person</w:t>
            </w:r>
          </w:p>
        </w:tc>
      </w:tr>
      <w:tr>
        <w:tc>
          <w:tcPr/>
          <w:p>
            <w:pPr>
              <w:pStyle w:val="Compact"/>
              <w:jc w:val="left"/>
            </w:pPr>
            <w:r>
              <w:t xml:space="preserve">Grounding Kits</w:t>
            </w:r>
          </w:p>
        </w:tc>
        <w:tc>
          <w:tcPr/>
          <w:p>
            <w:pPr>
              <w:pStyle w:val="Compact"/>
              <w:jc w:val="left"/>
            </w:pPr>
            <w:r>
              <w:t xml:space="preserve">Portable grounding sets for 150 kV systems</w:t>
            </w:r>
          </w:p>
        </w:tc>
        <w:tc>
          <w:tcPr/>
          <w:p>
            <w:pPr>
              <w:pStyle w:val="Compact"/>
              <w:jc w:val="left"/>
            </w:pPr>
            <w:r>
              <w:t xml:space="preserve">2 sets</w:t>
            </w:r>
          </w:p>
        </w:tc>
      </w:tr>
    </w:tbl>
    <w:bookmarkEnd w:id="22"/>
    <w:bookmarkStart w:id="26" w:name="experimental-procedure"/>
    <w:p>
      <w:pPr>
        <w:pStyle w:val="Heading2"/>
      </w:pPr>
      <w:r>
        <w:t xml:space="preserve">4. Experimental Procedure</w:t>
      </w:r>
    </w:p>
    <w:p>
      <w:pPr>
        <w:pStyle w:val="FirstParagraph"/>
      </w:pPr>
      <w:r>
        <w:t xml:space="preserve">The experiment will be conducted in three distinct phases. The Electrical Engineer must supervise each phase personally and ensure that all team members are briefed on the specific tasks and risks.</w:t>
      </w:r>
    </w:p>
    <w:bookmarkStart w:id="23" w:name="phase-1-pre-experiment-inspection"/>
    <w:p>
      <w:pPr>
        <w:pStyle w:val="Heading3"/>
      </w:pPr>
      <w:r>
        <w:t xml:space="preserve">4.1. Phase 1: Pre-Experiment Inspection</w:t>
      </w:r>
    </w:p>
    <w:p>
      <w:pPr>
        <w:numPr>
          <w:ilvl w:val="0"/>
          <w:numId w:val="1002"/>
        </w:numPr>
        <w:pStyle w:val="Compact"/>
      </w:pPr>
      <w:r>
        <w:t xml:space="preserve">Conduct a visual inspection of the test site located at the designated substation in Amsterdam.</w:t>
      </w:r>
    </w:p>
    <w:p>
      <w:pPr>
        <w:numPr>
          <w:ilvl w:val="0"/>
          <w:numId w:val="1002"/>
        </w:numPr>
        <w:pStyle w:val="Compact"/>
      </w:pPr>
      <w:r>
        <w:t xml:space="preserve">Verify that all safety barriers and warning signs are in place, clearly visible to the public and other workers.</w:t>
      </w:r>
    </w:p>
    <w:p>
      <w:pPr>
        <w:numPr>
          <w:ilvl w:val="0"/>
          <w:numId w:val="1002"/>
        </w:numPr>
        <w:pStyle w:val="Compact"/>
      </w:pPr>
      <w:r>
        <w:t xml:space="preserve">Check the calibration certificates of all measurement instruments.</w:t>
      </w:r>
    </w:p>
    <w:p>
      <w:pPr>
        <w:numPr>
          <w:ilvl w:val="0"/>
          <w:numId w:val="1002"/>
        </w:numPr>
        <w:pStyle w:val="Compact"/>
      </w:pPr>
      <w:r>
        <w:t xml:space="preserve">Perform a risk assessment specific to the day's weather conditions, considering factors such as wind and humidity, which are common in the Netherlands.</w:t>
      </w:r>
    </w:p>
    <w:bookmarkEnd w:id="23"/>
    <w:bookmarkStart w:id="24" w:name="phase-2-data-acquisition"/>
    <w:p>
      <w:pPr>
        <w:pStyle w:val="Heading3"/>
      </w:pPr>
      <w:r>
        <w:t xml:space="preserve">4.2. Phase 2: Data Acquisition</w:t>
      </w:r>
    </w:p>
    <w:p>
      <w:pPr>
        <w:numPr>
          <w:ilvl w:val="0"/>
          <w:numId w:val="1003"/>
        </w:numPr>
        <w:pStyle w:val="Compact"/>
      </w:pPr>
      <w:r>
        <w:t xml:space="preserve">Isolate the test section of the grid following the lockout/tagout (LOTO) procedures defined in NEN-EN 50110-1.</w:t>
      </w:r>
    </w:p>
    <w:p>
      <w:pPr>
        <w:numPr>
          <w:ilvl w:val="0"/>
          <w:numId w:val="1003"/>
        </w:numPr>
        <w:pStyle w:val="Compact"/>
      </w:pPr>
      <w:r>
        <w:t xml:space="preserve">Apply the simulated fault conditions using the high-voltage test transformer, starting at 50% of the rated voltage and incrementally increasing to 100%.</w:t>
      </w:r>
    </w:p>
    <w:p>
      <w:pPr>
        <w:numPr>
          <w:ilvl w:val="0"/>
          <w:numId w:val="1003"/>
        </w:numPr>
        <w:pStyle w:val="Compact"/>
      </w:pPr>
      <w:r>
        <w:t xml:space="preserve">Record voltage, current, and frequency data using the power quality analyzer and oscilloscopes.</w:t>
      </w:r>
    </w:p>
    <w:p>
      <w:pPr>
        <w:numPr>
          <w:ilvl w:val="0"/>
          <w:numId w:val="1003"/>
        </w:numPr>
        <w:pStyle w:val="Compact"/>
      </w:pPr>
      <w:r>
        <w:t xml:space="preserve">Monitor the response time of the protective relays and document any deviations from the expected behavior.</w:t>
      </w:r>
    </w:p>
    <w:bookmarkEnd w:id="24"/>
    <w:bookmarkStart w:id="25" w:name="phase-3-post-experiment-analysis"/>
    <w:p>
      <w:pPr>
        <w:pStyle w:val="Heading3"/>
      </w:pPr>
      <w:r>
        <w:t xml:space="preserve">4.3. Phase 3: Post-Experiment Analysis</w:t>
      </w:r>
    </w:p>
    <w:p>
      <w:pPr>
        <w:numPr>
          <w:ilvl w:val="0"/>
          <w:numId w:val="1004"/>
        </w:numPr>
        <w:pStyle w:val="Compact"/>
      </w:pPr>
      <w:r>
        <w:t xml:space="preserve">De-energize the test equipment and ensure all capacitors are discharged.</w:t>
      </w:r>
    </w:p>
    <w:p>
      <w:pPr>
        <w:numPr>
          <w:ilvl w:val="0"/>
          <w:numId w:val="1004"/>
        </w:numPr>
        <w:pStyle w:val="Compact"/>
      </w:pPr>
      <w:r>
        <w:t xml:space="preserve">Remove grounding kits and restore the grid to its normal operating configuration.</w:t>
      </w:r>
    </w:p>
    <w:p>
      <w:pPr>
        <w:numPr>
          <w:ilvl w:val="0"/>
          <w:numId w:val="1004"/>
        </w:numPr>
        <w:pStyle w:val="Compact"/>
      </w:pPr>
      <w:r>
        <w:t xml:space="preserve">Analyze the collected data to determine the stability margins of the system.</w:t>
      </w:r>
    </w:p>
    <w:p>
      <w:pPr>
        <w:numPr>
          <w:ilvl w:val="0"/>
          <w:numId w:val="1004"/>
        </w:numPr>
        <w:pStyle w:val="Compact"/>
      </w:pPr>
      <w:r>
        <w:t xml:space="preserve">Prepare a preliminary report highlighting any anomalies or areas of concern.</w:t>
      </w:r>
    </w:p>
    <w:bookmarkEnd w:id="25"/>
    <w:bookmarkEnd w:id="26"/>
    <w:bookmarkStart w:id="27" w:name="risk-management"/>
    <w:p>
      <w:pPr>
        <w:pStyle w:val="Heading2"/>
      </w:pPr>
      <w:r>
        <w:t xml:space="preserve">5. Risk Management</w:t>
      </w:r>
    </w:p>
    <w:p>
      <w:pPr>
        <w:pStyle w:val="FirstParagraph"/>
      </w:pPr>
      <w:r>
        <w:t xml:space="preserve">Working with high-voltage equipment in an urban environment like Amsterdam presents significant risks. The Electrical Engineer must implement the following risk mitigation strategies:</w:t>
      </w:r>
    </w:p>
    <w:p>
      <w:pPr>
        <w:numPr>
          <w:ilvl w:val="0"/>
          <w:numId w:val="1005"/>
        </w:numPr>
        <w:pStyle w:val="Compact"/>
      </w:pPr>
      <w:r>
        <w:rPr>
          <w:bCs/>
          <w:b/>
        </w:rPr>
        <w:t xml:space="preserve">Electrical Shock:</w:t>
      </w:r>
      <w:r>
        <w:t xml:space="preserve"> </w:t>
      </w:r>
      <w:r>
        <w:t xml:space="preserve">Ensure all personnel are trained in high-voltage safety and use appropriate PPE.</w:t>
      </w:r>
    </w:p>
    <w:p>
      <w:pPr>
        <w:numPr>
          <w:ilvl w:val="0"/>
          <w:numId w:val="1005"/>
        </w:numPr>
        <w:pStyle w:val="Compact"/>
      </w:pPr>
      <w:r>
        <w:rPr>
          <w:bCs/>
          <w:b/>
        </w:rPr>
        <w:t xml:space="preserve">Arc Flash:</w:t>
      </w:r>
      <w:r>
        <w:t xml:space="preserve"> </w:t>
      </w:r>
      <w:r>
        <w:t xml:space="preserve">Maintain safe distances from energized components and use arc-flash rated equipment.</w:t>
      </w:r>
    </w:p>
    <w:p>
      <w:pPr>
        <w:numPr>
          <w:ilvl w:val="0"/>
          <w:numId w:val="1005"/>
        </w:numPr>
        <w:pStyle w:val="Compact"/>
      </w:pPr>
      <w:r>
        <w:rPr>
          <w:bCs/>
          <w:b/>
        </w:rPr>
        <w:t xml:space="preserve">Public Safety:</w:t>
      </w:r>
      <w:r>
        <w:t xml:space="preserve"> </w:t>
      </w:r>
      <w:r>
        <w:t xml:space="preserve">Coordinate with local authorities to manage traffic and pedestrian flow around the test site.</w:t>
      </w:r>
    </w:p>
    <w:p>
      <w:pPr>
        <w:numPr>
          <w:ilvl w:val="0"/>
          <w:numId w:val="1005"/>
        </w:numPr>
        <w:pStyle w:val="Compact"/>
      </w:pPr>
      <w:r>
        <w:rPr>
          <w:bCs/>
          <w:b/>
        </w:rPr>
        <w:t xml:space="preserve">Environmental Impact:</w:t>
      </w:r>
      <w:r>
        <w:t xml:space="preserve"> </w:t>
      </w:r>
      <w:r>
        <w:t xml:space="preserve">Prevent oil leaks from transformers and properly dispose of any hazardous materials.</w:t>
      </w:r>
    </w:p>
    <w:p>
      <w:pPr>
        <w:pStyle w:val="FirstParagraph"/>
      </w:pPr>
      <w:r>
        <w:rPr>
          <w:bCs/>
          <w:b/>
        </w:rPr>
        <w:t xml:space="preserve">Emergency Procedure:</w:t>
      </w:r>
      <w:r>
        <w:t xml:space="preserve"> </w:t>
      </w:r>
      <w:r>
        <w:t xml:space="preserve">In case of an accident, immediately shut down the power supply and activate the emergency response plan. Contact the Dutch emergency services (112) and notify the site supervisor.</w:t>
      </w:r>
    </w:p>
    <w:bookmarkEnd w:id="27"/>
    <w:bookmarkStart w:id="28" w:name="documentation-and-reporting"/>
    <w:p>
      <w:pPr>
        <w:pStyle w:val="Heading2"/>
      </w:pPr>
      <w:r>
        <w:t xml:space="preserve">6. Documentation and Reporting</w:t>
      </w:r>
    </w:p>
    <w:p>
      <w:pPr>
        <w:pStyle w:val="FirstParagraph"/>
      </w:pPr>
      <w:r>
        <w:t xml:space="preserve">Accurate documentation is essential for the validity of the experiment and for regulatory compliance. The Electrical Engineer must maintain detailed records of all activities, including:</w:t>
      </w:r>
    </w:p>
    <w:p>
      <w:pPr>
        <w:numPr>
          <w:ilvl w:val="0"/>
          <w:numId w:val="1006"/>
        </w:numPr>
        <w:pStyle w:val="Compact"/>
      </w:pPr>
      <w:r>
        <w:t xml:space="preserve">Daily logs of experimental activities.</w:t>
      </w:r>
    </w:p>
    <w:p>
      <w:pPr>
        <w:numPr>
          <w:ilvl w:val="0"/>
          <w:numId w:val="1006"/>
        </w:numPr>
        <w:pStyle w:val="Compact"/>
      </w:pPr>
      <w:r>
        <w:t xml:space="preserve">Raw data files from measurement instruments.</w:t>
      </w:r>
    </w:p>
    <w:p>
      <w:pPr>
        <w:numPr>
          <w:ilvl w:val="0"/>
          <w:numId w:val="1006"/>
        </w:numPr>
        <w:pStyle w:val="Compact"/>
      </w:pPr>
      <w:r>
        <w:t xml:space="preserve">Incident reports, if any.</w:t>
      </w:r>
    </w:p>
    <w:p>
      <w:pPr>
        <w:numPr>
          <w:ilvl w:val="0"/>
          <w:numId w:val="1006"/>
        </w:numPr>
        <w:pStyle w:val="Compact"/>
      </w:pPr>
      <w:r>
        <w:t xml:space="preserve">A final report summarizing the findings, conclusions, and recommendations for improving grid stability in Amsterdam.</w:t>
      </w:r>
    </w:p>
    <w:p>
      <w:pPr>
        <w:pStyle w:val="FirstParagraph"/>
      </w:pPr>
      <w:r>
        <w:t xml:space="preserve">This Experiment Protocol serves as a foundational document for ensuring the safety, accuracy, and regulatory compliance of electrical engineering experiments in the Netherlands. By following these guidelines, Electrical Engineers can contribute to the development of a robust and sustainable power grid for Amsterdam and beyond.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High-Voltage Grid Stability Analysis</dc:title>
  <dc:creator/>
  <dc:language>en</dc:language>
  <cp:keywords/>
  <dcterms:created xsi:type="dcterms:W3CDTF">2026-10-10T01:39:57Z</dcterms:created>
  <dcterms:modified xsi:type="dcterms:W3CDTF">2026-10-10T01:39:57Z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