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Electrical Engineer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electrical experiments in Auckland, New Zealand. It is designed specifically for Electrical Engineers working within the regulatory framework of New Zealand, ensuring compliance with local standards and best practices.</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ensure the safety of all personnel involved in the experiment.</w:t>
      </w:r>
    </w:p>
    <w:p>
      <w:pPr>
        <w:numPr>
          <w:ilvl w:val="0"/>
          <w:numId w:val="1001"/>
        </w:numPr>
        <w:pStyle w:val="Compact"/>
      </w:pPr>
      <w:r>
        <w:t xml:space="preserve">To comply with New Zealand's electrical safety regulations and standards.</w:t>
      </w:r>
    </w:p>
    <w:p>
      <w:pPr>
        <w:numPr>
          <w:ilvl w:val="0"/>
          <w:numId w:val="1001"/>
        </w:numPr>
        <w:pStyle w:val="Compact"/>
      </w:pPr>
      <w:r>
        <w:t xml:space="preserve">To achieve accurate and reliable experimental results.</w:t>
      </w:r>
    </w:p>
    <w:p>
      <w:pPr>
        <w:numPr>
          <w:ilvl w:val="0"/>
          <w:numId w:val="1001"/>
        </w:numPr>
        <w:pStyle w:val="Compact"/>
      </w:pPr>
      <w:r>
        <w:t xml:space="preserve">To document all procedures and findings for future reference and audit.</w:t>
      </w:r>
    </w:p>
    <w:bookmarkEnd w:id="22"/>
    <w:bookmarkStart w:id="23" w:name="scope"/>
    <w:p>
      <w:pPr>
        <w:pStyle w:val="Heading2"/>
      </w:pPr>
      <w:r>
        <w:t xml:space="preserve">3. Scope</w:t>
      </w:r>
    </w:p>
    <w:p>
      <w:pPr>
        <w:pStyle w:val="FirstParagraph"/>
      </w:pPr>
      <w:r>
        <w:t xml:space="preserve">This protocol applies to all electrical experiments conducted by Electrical Engineers in Auckland, New Zealand. It covers the setup, execution, monitoring, and teardown of experiments involving electrical circuits, equipment, and systems.</w:t>
      </w:r>
    </w:p>
    <w:bookmarkEnd w:id="23"/>
    <w:bookmarkStart w:id="24" w:name="regulatory-compliance"/>
    <w:p>
      <w:pPr>
        <w:pStyle w:val="Heading2"/>
      </w:pPr>
      <w:r>
        <w:t xml:space="preserve">4. Regulatory Compliance</w:t>
      </w:r>
    </w:p>
    <w:p>
      <w:pPr>
        <w:pStyle w:val="FirstParagraph"/>
      </w:pPr>
      <w:r>
        <w:t xml:space="preserve">All experiments must adhere to the following New Zealand regulations and standards:</w:t>
      </w:r>
    </w:p>
    <w:p>
      <w:pPr>
        <w:numPr>
          <w:ilvl w:val="0"/>
          <w:numId w:val="1002"/>
        </w:numPr>
        <w:pStyle w:val="Compact"/>
      </w:pPr>
      <w:r>
        <w:rPr>
          <w:bCs/>
          <w:b/>
        </w:rPr>
        <w:t xml:space="preserve">Electricity (Safety) Regulations 2010:</w:t>
      </w:r>
      <w:r>
        <w:t xml:space="preserve"> </w:t>
      </w:r>
      <w:r>
        <w:t xml:space="preserve">Ensures the safety of electrical installations and operations.</w:t>
      </w:r>
    </w:p>
    <w:p>
      <w:pPr>
        <w:numPr>
          <w:ilvl w:val="0"/>
          <w:numId w:val="1002"/>
        </w:numPr>
        <w:pStyle w:val="Compact"/>
      </w:pPr>
      <w:r>
        <w:rPr>
          <w:bCs/>
          <w:b/>
        </w:rPr>
        <w:t xml:space="preserve">AS/NZS 3000:2018 (Wiring Rules):</w:t>
      </w:r>
      <w:r>
        <w:t xml:space="preserve"> </w:t>
      </w:r>
      <w:r>
        <w:t xml:space="preserve">Provides guidelines for electrical wiring and installations.</w:t>
      </w:r>
    </w:p>
    <w:p>
      <w:pPr>
        <w:numPr>
          <w:ilvl w:val="0"/>
          <w:numId w:val="1002"/>
        </w:numPr>
        <w:pStyle w:val="Compact"/>
      </w:pPr>
      <w:r>
        <w:rPr>
          <w:bCs/>
          <w:b/>
        </w:rPr>
        <w:t xml:space="preserve">AS/NZS 3008:2017:</w:t>
      </w:r>
      <w:r>
        <w:t xml:space="preserve"> </w:t>
      </w:r>
      <w:r>
        <w:t xml:space="preserve">Specifies requirements for the selection of cables.</w:t>
      </w:r>
    </w:p>
    <w:p>
      <w:pPr>
        <w:numPr>
          <w:ilvl w:val="0"/>
          <w:numId w:val="1002"/>
        </w:numPr>
        <w:pStyle w:val="Compact"/>
      </w:pPr>
      <w:r>
        <w:rPr>
          <w:bCs/>
          <w:b/>
        </w:rPr>
        <w:t xml:space="preserve">Work Health and Safety Act 2015:</w:t>
      </w:r>
      <w:r>
        <w:t xml:space="preserve"> </w:t>
      </w:r>
      <w:r>
        <w:t xml:space="preserve">Ensures the health and safety of workers and others in the workplace.</w:t>
      </w:r>
    </w:p>
    <w:p>
      <w:pPr>
        <w:pStyle w:val="FirstParagraph"/>
      </w:pPr>
      <w:r>
        <w:rPr>
          <w:bCs/>
          <w:b/>
        </w:rPr>
        <w:t xml:space="preserve">Note:</w:t>
      </w:r>
      <w:r>
        <w:t xml:space="preserve"> </w:t>
      </w:r>
      <w:r>
        <w:t xml:space="preserve">Electrical Engineers must be licensed and registered with the Engineering New Zealand (EngNZ) to conduct experiments.</w:t>
      </w:r>
    </w:p>
    <w:bookmarkEnd w:id="24"/>
    <w:bookmarkStart w:id="25" w:name="safety-measures"/>
    <w:p>
      <w:pPr>
        <w:pStyle w:val="Heading2"/>
      </w:pPr>
      <w:r>
        <w:t xml:space="preserve">5. Safety Measures</w:t>
      </w:r>
    </w:p>
    <w:p>
      <w:pPr>
        <w:pStyle w:val="FirstParagraph"/>
      </w:pPr>
      <w:r>
        <w:t xml:space="preserve">Safety is paramount in all electrical experiments. The following measures must be strictly followed:</w:t>
      </w:r>
    </w:p>
    <w:p>
      <w:pPr>
        <w:numPr>
          <w:ilvl w:val="0"/>
          <w:numId w:val="1003"/>
        </w:numPr>
        <w:pStyle w:val="Compact"/>
      </w:pPr>
      <w:r>
        <w:rPr>
          <w:bCs/>
          <w:b/>
        </w:rPr>
        <w:t xml:space="preserve">Personal Protective Equipment (PPE):</w:t>
      </w:r>
      <w:r>
        <w:t xml:space="preserve"> </w:t>
      </w:r>
      <w:r>
        <w:t xml:space="preserve">All personnel must wear appropriate PPE, including insulated gloves, safety glasses, and non-conductive footwear.</w:t>
      </w:r>
    </w:p>
    <w:p>
      <w:pPr>
        <w:numPr>
          <w:ilvl w:val="0"/>
          <w:numId w:val="1003"/>
        </w:numPr>
        <w:pStyle w:val="Compact"/>
      </w:pPr>
      <w:r>
        <w:rPr>
          <w:bCs/>
          <w:b/>
        </w:rPr>
        <w:t xml:space="preserve">Lockout/Tagout (LOTO):</w:t>
      </w:r>
      <w:r>
        <w:t xml:space="preserve"> </w:t>
      </w:r>
      <w:r>
        <w:t xml:space="preserve">Implement LOTO procedures to prevent accidental energization of equipment during maintenance or experimentation.</w:t>
      </w:r>
    </w:p>
    <w:p>
      <w:pPr>
        <w:numPr>
          <w:ilvl w:val="0"/>
          <w:numId w:val="1003"/>
        </w:numPr>
        <w:pStyle w:val="Compact"/>
      </w:pPr>
      <w:r>
        <w:rPr>
          <w:bCs/>
          <w:b/>
        </w:rPr>
        <w:t xml:space="preserve">Emergency Procedures:</w:t>
      </w:r>
      <w:r>
        <w:t xml:space="preserve"> </w:t>
      </w:r>
      <w:r>
        <w:t xml:space="preserve">Ensure all personnel are familiar with emergency shutdown procedures and first aid protocols.</w:t>
      </w:r>
    </w:p>
    <w:p>
      <w:pPr>
        <w:numPr>
          <w:ilvl w:val="0"/>
          <w:numId w:val="1003"/>
        </w:numPr>
        <w:pStyle w:val="Compact"/>
      </w:pPr>
      <w:r>
        <w:rPr>
          <w:bCs/>
          <w:b/>
        </w:rPr>
        <w:t xml:space="preserve">Fire Safety:</w:t>
      </w:r>
      <w:r>
        <w:t xml:space="preserve"> </w:t>
      </w:r>
      <w:r>
        <w:t xml:space="preserve">Keep fire extinguishers rated for electrical fires readily accessible.</w:t>
      </w:r>
    </w:p>
    <w:bookmarkEnd w:id="25"/>
    <w:bookmarkStart w:id="26" w:name="equipment-and-materials"/>
    <w:p>
      <w:pPr>
        <w:pStyle w:val="Heading2"/>
      </w:pPr>
      <w:r>
        <w:t xml:space="preserve">6. Equipment and Materials</w:t>
      </w:r>
    </w:p>
    <w:p>
      <w:pPr>
        <w:pStyle w:val="FirstParagraph"/>
      </w:pPr>
      <w:r>
        <w:t xml:space="preserve">The following equipment and materials are required for the experiment:</w:t>
      </w:r>
    </w:p>
    <w:p>
      <w:pPr>
        <w:numPr>
          <w:ilvl w:val="0"/>
          <w:numId w:val="1004"/>
        </w:numPr>
        <w:pStyle w:val="Compact"/>
      </w:pPr>
      <w:r>
        <w:t xml:space="preserve">Power supply units compliant with AS/NZS standards.</w:t>
      </w:r>
    </w:p>
    <w:p>
      <w:pPr>
        <w:numPr>
          <w:ilvl w:val="0"/>
          <w:numId w:val="1004"/>
        </w:numPr>
        <w:pStyle w:val="Compact"/>
      </w:pPr>
      <w:r>
        <w:t xml:space="preserve">Multimeters, oscilloscopes, and other measurement devices.</w:t>
      </w:r>
    </w:p>
    <w:p>
      <w:pPr>
        <w:numPr>
          <w:ilvl w:val="0"/>
          <w:numId w:val="1004"/>
        </w:numPr>
        <w:pStyle w:val="Compact"/>
      </w:pPr>
      <w:r>
        <w:t xml:space="preserve">Insulated tools and test leads.</w:t>
      </w:r>
    </w:p>
    <w:p>
      <w:pPr>
        <w:numPr>
          <w:ilvl w:val="0"/>
          <w:numId w:val="1004"/>
        </w:numPr>
        <w:pStyle w:val="Compact"/>
      </w:pPr>
      <w:r>
        <w:t xml:space="preserve">Circuit breakers and fuses appropriate for the experiment's voltage and current levels.</w:t>
      </w:r>
    </w:p>
    <w:p>
      <w:pPr>
        <w:numPr>
          <w:ilvl w:val="0"/>
          <w:numId w:val="1004"/>
        </w:numPr>
        <w:pStyle w:val="Compact"/>
      </w:pPr>
      <w:r>
        <w:t xml:space="preserve">Grounding equipment to ensure proper earthing.</w:t>
      </w:r>
    </w:p>
    <w:bookmarkEnd w:id="26"/>
    <w:bookmarkStart w:id="27" w:name="experimental-procedure"/>
    <w:p>
      <w:pPr>
        <w:pStyle w:val="Heading2"/>
      </w:pPr>
      <w:r>
        <w:t xml:space="preserve">7. Experimental Procedure</w:t>
      </w:r>
    </w:p>
    <w:p>
      <w:pPr>
        <w:pStyle w:val="FirstParagraph"/>
      </w:pPr>
      <w:r>
        <w:t xml:space="preserve">The experiment will be conducted in the following steps:</w:t>
      </w:r>
    </w:p>
    <w:p>
      <w:pPr>
        <w:numPr>
          <w:ilvl w:val="0"/>
          <w:numId w:val="1005"/>
        </w:numPr>
        <w:pStyle w:val="Compact"/>
      </w:pPr>
      <w:r>
        <w:rPr>
          <w:bCs/>
          <w:b/>
        </w:rPr>
        <w:t xml:space="preserve">Preparation:</w:t>
      </w:r>
      <w:r>
        <w:t xml:space="preserve"> </w:t>
      </w:r>
      <w:r>
        <w:t xml:space="preserve">Review the experiment plan and ensure all equipment is calibrated and in good working condition.</w:t>
      </w:r>
    </w:p>
    <w:p>
      <w:pPr>
        <w:numPr>
          <w:ilvl w:val="0"/>
          <w:numId w:val="1005"/>
        </w:numPr>
        <w:pStyle w:val="Compact"/>
      </w:pPr>
      <w:r>
        <w:rPr>
          <w:bCs/>
          <w:b/>
        </w:rPr>
        <w:t xml:space="preserve">Setup:</w:t>
      </w:r>
      <w:r>
        <w:t xml:space="preserve"> </w:t>
      </w:r>
      <w:r>
        <w:t xml:space="preserve">Assemble the electrical circuit according to the schematic diagram, ensuring all connections are secure and properly insulated.</w:t>
      </w:r>
    </w:p>
    <w:p>
      <w:pPr>
        <w:numPr>
          <w:ilvl w:val="0"/>
          <w:numId w:val="1005"/>
        </w:numPr>
        <w:pStyle w:val="Compact"/>
      </w:pPr>
      <w:r>
        <w:rPr>
          <w:bCs/>
          <w:b/>
        </w:rPr>
        <w:t xml:space="preserve">Inspection:</w:t>
      </w:r>
      <w:r>
        <w:t xml:space="preserve"> </w:t>
      </w:r>
      <w:r>
        <w:t xml:space="preserve">Conduct a thorough inspection of the setup to identify any potential hazards or errors.</w:t>
      </w:r>
    </w:p>
    <w:p>
      <w:pPr>
        <w:numPr>
          <w:ilvl w:val="0"/>
          <w:numId w:val="1005"/>
        </w:numPr>
        <w:pStyle w:val="Compact"/>
      </w:pPr>
      <w:r>
        <w:rPr>
          <w:bCs/>
          <w:b/>
        </w:rPr>
        <w:t xml:space="preserve">Energization:</w:t>
      </w:r>
      <w:r>
        <w:t xml:space="preserve"> </w:t>
      </w:r>
      <w:r>
        <w:t xml:space="preserve">Gradually apply power to the circuit, monitoring all parameters closely.</w:t>
      </w:r>
    </w:p>
    <w:p>
      <w:pPr>
        <w:numPr>
          <w:ilvl w:val="0"/>
          <w:numId w:val="1005"/>
        </w:numPr>
        <w:pStyle w:val="Compact"/>
      </w:pPr>
      <w:r>
        <w:rPr>
          <w:bCs/>
          <w:b/>
        </w:rPr>
        <w:t xml:space="preserve">Data Collection:</w:t>
      </w:r>
      <w:r>
        <w:t xml:space="preserve"> </w:t>
      </w:r>
      <w:r>
        <w:t xml:space="preserve">Record all measurements and observations systematically.</w:t>
      </w:r>
    </w:p>
    <w:p>
      <w:pPr>
        <w:numPr>
          <w:ilvl w:val="0"/>
          <w:numId w:val="1005"/>
        </w:numPr>
        <w:pStyle w:val="Compact"/>
      </w:pPr>
      <w:r>
        <w:rPr>
          <w:bCs/>
          <w:b/>
        </w:rPr>
        <w:t xml:space="preserve">De-energization:</w:t>
      </w:r>
      <w:r>
        <w:t xml:space="preserve"> </w:t>
      </w:r>
      <w:r>
        <w:t xml:space="preserve">Safely disconnect power and discharge any stored energy in capacitors or inductors.</w:t>
      </w:r>
    </w:p>
    <w:p>
      <w:pPr>
        <w:numPr>
          <w:ilvl w:val="0"/>
          <w:numId w:val="1005"/>
        </w:numPr>
        <w:pStyle w:val="Compact"/>
      </w:pPr>
      <w:r>
        <w:rPr>
          <w:bCs/>
          <w:b/>
        </w:rPr>
        <w:t xml:space="preserve">Teardown:</w:t>
      </w:r>
      <w:r>
        <w:t xml:space="preserve"> </w:t>
      </w:r>
      <w:r>
        <w:t xml:space="preserve">Disassemble the circuit and store all equipment properly.</w:t>
      </w:r>
    </w:p>
    <w:bookmarkEnd w:id="27"/>
    <w:bookmarkStart w:id="28" w:name="data-analysis-and-reporting"/>
    <w:p>
      <w:pPr>
        <w:pStyle w:val="Heading2"/>
      </w:pPr>
      <w:r>
        <w:t xml:space="preserve">8. Data Analysis and Reporting</w:t>
      </w:r>
    </w:p>
    <w:p>
      <w:pPr>
        <w:pStyle w:val="FirstParagraph"/>
      </w:pPr>
      <w:r>
        <w:t xml:space="preserve">All data collected during the experiment must be analyzed and documented in a detailed report. The report should include:</w:t>
      </w:r>
    </w:p>
    <w:p>
      <w:pPr>
        <w:numPr>
          <w:ilvl w:val="0"/>
          <w:numId w:val="1006"/>
        </w:numPr>
        <w:pStyle w:val="Compact"/>
      </w:pPr>
      <w:r>
        <w:t xml:space="preserve">Objective of the experiment.</w:t>
      </w:r>
    </w:p>
    <w:p>
      <w:pPr>
        <w:numPr>
          <w:ilvl w:val="0"/>
          <w:numId w:val="1006"/>
        </w:numPr>
        <w:pStyle w:val="Compact"/>
      </w:pPr>
      <w:r>
        <w:t xml:space="preserve">Methodology and procedures followed.</w:t>
      </w:r>
    </w:p>
    <w:p>
      <w:pPr>
        <w:numPr>
          <w:ilvl w:val="0"/>
          <w:numId w:val="1006"/>
        </w:numPr>
        <w:pStyle w:val="Compact"/>
      </w:pPr>
      <w:r>
        <w:t xml:space="preserve">Data and observations recorded.</w:t>
      </w:r>
    </w:p>
    <w:p>
      <w:pPr>
        <w:numPr>
          <w:ilvl w:val="0"/>
          <w:numId w:val="1006"/>
        </w:numPr>
        <w:pStyle w:val="Compact"/>
      </w:pPr>
      <w:r>
        <w:t xml:space="preserve">Analysis and interpretation of results.</w:t>
      </w:r>
    </w:p>
    <w:p>
      <w:pPr>
        <w:numPr>
          <w:ilvl w:val="0"/>
          <w:numId w:val="1006"/>
        </w:numPr>
        <w:pStyle w:val="Compact"/>
      </w:pPr>
      <w:r>
        <w:t xml:space="preserve">Conclusions and recommendations.</w:t>
      </w:r>
    </w:p>
    <w:bookmarkEnd w:id="28"/>
    <w:bookmarkStart w:id="29" w:name="risk-assessment"/>
    <w:p>
      <w:pPr>
        <w:pStyle w:val="Heading2"/>
      </w:pPr>
      <w:r>
        <w:t xml:space="preserve">9. Risk Assessment</w:t>
      </w:r>
    </w:p>
    <w:p>
      <w:pPr>
        <w:pStyle w:val="FirstParagraph"/>
      </w:pPr>
      <w:r>
        <w:t xml:space="preserve">A comprehensive risk assessment must be conducted before the experiment begins. Potential risks include:</w:t>
      </w:r>
    </w:p>
    <w:p>
      <w:pPr>
        <w:numPr>
          <w:ilvl w:val="0"/>
          <w:numId w:val="1007"/>
        </w:numPr>
        <w:pStyle w:val="Compact"/>
      </w:pPr>
      <w:r>
        <w:t xml:space="preserve">Electric shock.</w:t>
      </w:r>
    </w:p>
    <w:p>
      <w:pPr>
        <w:numPr>
          <w:ilvl w:val="0"/>
          <w:numId w:val="1007"/>
        </w:numPr>
        <w:pStyle w:val="Compact"/>
      </w:pPr>
      <w:r>
        <w:t xml:space="preserve">Fire hazards.</w:t>
      </w:r>
    </w:p>
    <w:p>
      <w:pPr>
        <w:numPr>
          <w:ilvl w:val="0"/>
          <w:numId w:val="1007"/>
        </w:numPr>
        <w:pStyle w:val="Compact"/>
      </w:pPr>
      <w:r>
        <w:t xml:space="preserve">Equipment failure.</w:t>
      </w:r>
    </w:p>
    <w:p>
      <w:pPr>
        <w:numPr>
          <w:ilvl w:val="0"/>
          <w:numId w:val="1007"/>
        </w:numPr>
        <w:pStyle w:val="Compact"/>
      </w:pPr>
      <w:r>
        <w:t xml:space="preserve">Environmental hazards specific to Auckland, such as coastal corrosion.</w:t>
      </w:r>
    </w:p>
    <w:p>
      <w:pPr>
        <w:pStyle w:val="FirstParagraph"/>
      </w:pPr>
      <w:r>
        <w:t xml:space="preserve">Mitigation strategies for each identified risk must be documented and implemented.</w:t>
      </w:r>
    </w:p>
    <w:bookmarkEnd w:id="29"/>
    <w:bookmarkStart w:id="30" w:name="conclusion"/>
    <w:p>
      <w:pPr>
        <w:pStyle w:val="Heading2"/>
      </w:pPr>
      <w:r>
        <w:t xml:space="preserve">10. Conclusion</w:t>
      </w:r>
    </w:p>
    <w:p>
      <w:pPr>
        <w:pStyle w:val="FirstParagraph"/>
      </w:pPr>
      <w:r>
        <w:t xml:space="preserve">This Experiment Protocol provides a structured approach for Electrical Engineers conducting experiments in Auckland, New Zealand. By adhering to this protocol, engineers can ensure the safety, accuracy, and compliance of their work, contributing to the advancement of electrical engineering practices in the region.</w:t>
      </w:r>
    </w:p>
    <w:bookmarkEnd w:id="30"/>
    <w:bookmarkStart w:id="31" w:name="references"/>
    <w:p>
      <w:pPr>
        <w:pStyle w:val="Heading2"/>
      </w:pPr>
      <w:r>
        <w:t xml:space="preserve">11. References</w:t>
      </w:r>
    </w:p>
    <w:p>
      <w:pPr>
        <w:numPr>
          <w:ilvl w:val="0"/>
          <w:numId w:val="1008"/>
        </w:numPr>
        <w:pStyle w:val="Compact"/>
      </w:pPr>
      <w:r>
        <w:t xml:space="preserve">Electricity (Safety) Regulations 2010.</w:t>
      </w:r>
    </w:p>
    <w:p>
      <w:pPr>
        <w:numPr>
          <w:ilvl w:val="0"/>
          <w:numId w:val="1008"/>
        </w:numPr>
        <w:pStyle w:val="Compact"/>
      </w:pPr>
      <w:r>
        <w:t xml:space="preserve">AS/NZS 3000:2018 - Wiring Rules.</w:t>
      </w:r>
    </w:p>
    <w:p>
      <w:pPr>
        <w:numPr>
          <w:ilvl w:val="0"/>
          <w:numId w:val="1008"/>
        </w:numPr>
        <w:pStyle w:val="Compact"/>
      </w:pPr>
      <w:r>
        <w:t xml:space="preserve">AS/NZS 3008:2017 - Selection of Cables.</w:t>
      </w:r>
    </w:p>
    <w:p>
      <w:pPr>
        <w:numPr>
          <w:ilvl w:val="0"/>
          <w:numId w:val="1008"/>
        </w:numPr>
        <w:pStyle w:val="Compact"/>
      </w:pPr>
      <w:r>
        <w:t xml:space="preserve">Work Health and Safety Act 2015.</w:t>
      </w:r>
    </w:p>
    <w:p>
      <w:pPr>
        <w:numPr>
          <w:ilvl w:val="0"/>
          <w:numId w:val="1008"/>
        </w:numPr>
        <w:pStyle w:val="Compact"/>
      </w:pPr>
      <w:r>
        <w:t xml:space="preserve">Engineering New Zealand (EngNZ) Guidelines.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New Zealand Auckland</dc:title>
  <dc:creator/>
  <dc:language>en</dc:language>
  <cp:keywords/>
  <dcterms:created xsi:type="dcterms:W3CDTF">2026-10-10T03:39:03Z</dcterms:created>
  <dcterms:modified xsi:type="dcterms:W3CDTF">2026-10-10T03:39:03Z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