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Qatar Doha, State of Qatar</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analysis of high-voltage grid stability in the urban infrastructure of Qatar Doha. The primary objective is to evaluate the performance of the electrical grid under varying load conditions, particularly during peak summer months when energy demand is at its highest. This study aims to ensure the reliability and efficiency of the power distribution system, which is critical for supporting the rapid urban development and technological advancements in the region.</w:t>
      </w:r>
    </w:p>
    <w:p>
      <w:pPr>
        <w:pStyle w:val="BodyText"/>
      </w:pPr>
      <w:r>
        <w:t xml:space="preserve">The protocol is designed to be executed by a team of qualified Electrical Engineers who are well-versed in the local regulations and standards set by the Ministry of Energy and Industry of Qatar. The findings from this experiment will contribute to the ongoing efforts to enhance the resilience of the national grid and support the country's vision for sustainable energy solutions.</w:t>
      </w:r>
    </w:p>
    <w:bookmarkEnd w:id="21"/>
    <w:bookmarkStart w:id="22" w:name="scope-and-applicability"/>
    <w:p>
      <w:pPr>
        <w:pStyle w:val="Heading2"/>
      </w:pPr>
      <w:r>
        <w:t xml:space="preserve">2. Scope and Applicability</w:t>
      </w:r>
    </w:p>
    <w:p>
      <w:pPr>
        <w:pStyle w:val="FirstParagraph"/>
      </w:pPr>
      <w:r>
        <w:t xml:space="preserve">This protocol applies to all high-voltage substations and transmission lines within the metropolitan area of Qatar Doha. It covers the following aspects:</w:t>
      </w:r>
    </w:p>
    <w:p>
      <w:pPr>
        <w:numPr>
          <w:ilvl w:val="0"/>
          <w:numId w:val="1001"/>
        </w:numPr>
        <w:pStyle w:val="Compact"/>
      </w:pPr>
      <w:r>
        <w:t xml:space="preserve">Load testing under normal and peak conditions.</w:t>
      </w:r>
    </w:p>
    <w:p>
      <w:pPr>
        <w:numPr>
          <w:ilvl w:val="0"/>
          <w:numId w:val="1001"/>
        </w:numPr>
        <w:pStyle w:val="Compact"/>
      </w:pPr>
      <w:r>
        <w:t xml:space="preserve">Harmonic distortion analysis.</w:t>
      </w:r>
    </w:p>
    <w:p>
      <w:pPr>
        <w:numPr>
          <w:ilvl w:val="0"/>
          <w:numId w:val="1001"/>
        </w:numPr>
        <w:pStyle w:val="Compact"/>
      </w:pPr>
      <w:r>
        <w:t xml:space="preserve">Transient response evaluation.</w:t>
      </w:r>
    </w:p>
    <w:p>
      <w:pPr>
        <w:numPr>
          <w:ilvl w:val="0"/>
          <w:numId w:val="1001"/>
        </w:numPr>
        <w:pStyle w:val="Compact"/>
      </w:pPr>
      <w:r>
        <w:t xml:space="preserve">Integration of renewable energy sources.</w:t>
      </w:r>
    </w:p>
    <w:p>
      <w:pPr>
        <w:pStyle w:val="FirstParagraph"/>
      </w:pPr>
      <w:r>
        <w:t xml:space="preserve">The scope is limited to the existing infrastructure and does not include new construction projects unless specifically approved by the relevant authorities.</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High-voltage experiments pose significant risks. All personnel must adhere to the safety guidelines outlined below.</w:t>
      </w:r>
    </w:p>
    <w:p>
      <w:pPr>
        <w:numPr>
          <w:ilvl w:val="0"/>
          <w:numId w:val="1002"/>
        </w:numPr>
        <w:pStyle w:val="Compact"/>
      </w:pPr>
      <w:r>
        <w:t xml:space="preserve">Personal Protective Equipment (PPE): All team members must wear appropriate PPE, including insulated gloves, safety glasses, and flame-resistant clothing.</w:t>
      </w:r>
    </w:p>
    <w:p>
      <w:pPr>
        <w:numPr>
          <w:ilvl w:val="0"/>
          <w:numId w:val="1002"/>
        </w:numPr>
        <w:pStyle w:val="Compact"/>
      </w:pPr>
      <w:r>
        <w:t xml:space="preserve">Lockout/Tagout Procedures: Ensure that all equipment is properly locked out and tagged before beginning any work.</w:t>
      </w:r>
    </w:p>
    <w:p>
      <w:pPr>
        <w:numPr>
          <w:ilvl w:val="0"/>
          <w:numId w:val="1002"/>
        </w:numPr>
        <w:pStyle w:val="Compact"/>
      </w:pPr>
      <w:r>
        <w:t xml:space="preserve">Emergency Response Plan: A detailed emergency response plan must be in place, including access to first aid kits and emergency contact numbers.</w:t>
      </w:r>
    </w:p>
    <w:p>
      <w:pPr>
        <w:numPr>
          <w:ilvl w:val="0"/>
          <w:numId w:val="1002"/>
        </w:numPr>
        <w:pStyle w:val="Compact"/>
      </w:pPr>
      <w:r>
        <w:t xml:space="preserve">Training: All personnel must undergo training on high-voltage safety and emergency procedures.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and harmonics</w:t>
            </w:r>
          </w:p>
        </w:tc>
        <w:tc>
          <w:tcPr/>
          <w:p>
            <w:pPr>
              <w:pStyle w:val="Compact"/>
              <w:jc w:val="left"/>
            </w:pPr>
            <w:r>
              <w:t xml:space="preserve">5</w:t>
            </w:r>
          </w:p>
        </w:tc>
      </w:tr>
      <w:tr>
        <w:tc>
          <w:tcPr/>
          <w:p>
            <w:pPr>
              <w:pStyle w:val="Compact"/>
              <w:jc w:val="left"/>
            </w:pPr>
            <w:r>
              <w:t xml:space="preserve">Oscilloscope</w:t>
            </w:r>
          </w:p>
        </w:tc>
        <w:tc>
          <w:tcPr/>
          <w:p>
            <w:pPr>
              <w:pStyle w:val="Compact"/>
              <w:jc w:val="left"/>
            </w:pPr>
            <w:r>
              <w:t xml:space="preserve">For transient response analysis</w:t>
            </w:r>
          </w:p>
        </w:tc>
        <w:tc>
          <w:tcPr/>
          <w:p>
            <w:pPr>
              <w:pStyle w:val="Compact"/>
              <w:jc w:val="left"/>
            </w:pPr>
            <w:r>
              <w:t xml:space="preserve">3</w:t>
            </w:r>
          </w:p>
        </w:tc>
      </w:tr>
      <w:tr>
        <w:tc>
          <w:tcPr/>
          <w:p>
            <w:pPr>
              <w:pStyle w:val="Compact"/>
              <w:jc w:val="left"/>
            </w:pPr>
            <w:r>
              <w:t xml:space="preserve">Thermal Imaging Camera</w:t>
            </w:r>
          </w:p>
        </w:tc>
        <w:tc>
          <w:tcPr/>
          <w:p>
            <w:pPr>
              <w:pStyle w:val="Compact"/>
              <w:jc w:val="left"/>
            </w:pPr>
            <w:r>
              <w:t xml:space="preserve">For detecting overheating components</w:t>
            </w:r>
          </w:p>
        </w:tc>
        <w:tc>
          <w:tcPr/>
          <w:p>
            <w:pPr>
              <w:pStyle w:val="Compact"/>
              <w:jc w:val="left"/>
            </w:pPr>
            <w:r>
              <w:t xml:space="preserve">2</w:t>
            </w:r>
          </w:p>
        </w:tc>
      </w:tr>
      <w:tr>
        <w:tc>
          <w:tcPr/>
          <w:p>
            <w:pPr>
              <w:pStyle w:val="Compact"/>
              <w:jc w:val="left"/>
            </w:pPr>
            <w:r>
              <w:t xml:space="preserve">Data Logger</w:t>
            </w:r>
          </w:p>
        </w:tc>
        <w:tc>
          <w:tcPr/>
          <w:p>
            <w:pPr>
              <w:pStyle w:val="Compact"/>
              <w:jc w:val="left"/>
            </w:pPr>
            <w:r>
              <w:t xml:space="preserve">For continuous data recording</w:t>
            </w:r>
          </w:p>
        </w:tc>
        <w:tc>
          <w:tcPr/>
          <w:p>
            <w:pPr>
              <w:pStyle w:val="Compact"/>
              <w:jc w:val="left"/>
            </w:pPr>
            <w:r>
              <w:t xml:space="preserve">10</w:t>
            </w:r>
          </w:p>
        </w:tc>
      </w:tr>
      <w:tr>
        <w:tc>
          <w:tcPr/>
          <w:p>
            <w:pPr>
              <w:pStyle w:val="Compact"/>
              <w:jc w:val="left"/>
            </w:pPr>
            <w:r>
              <w:t xml:space="preserve">Insulated Tools</w:t>
            </w:r>
          </w:p>
        </w:tc>
        <w:tc>
          <w:tcPr/>
          <w:p>
            <w:pPr>
              <w:pStyle w:val="Compact"/>
              <w:jc w:val="left"/>
            </w:pPr>
            <w:r>
              <w:t xml:space="preserve">For safe handling of high-voltage equipment</w:t>
            </w:r>
          </w:p>
        </w:tc>
        <w:tc>
          <w:tcPr/>
          <w:p>
            <w:pPr>
              <w:pStyle w:val="Compact"/>
              <w:jc w:val="left"/>
            </w:pPr>
            <w:r>
              <w:t xml:space="preserve">As needed</w:t>
            </w:r>
          </w:p>
        </w:tc>
      </w:tr>
    </w:tbl>
    <w:bookmarkEnd w:id="24"/>
    <w:bookmarkStart w:id="30" w:name="procedure"/>
    <w:p>
      <w:pPr>
        <w:pStyle w:val="Heading2"/>
      </w:pPr>
      <w:r>
        <w:t xml:space="preserve">5. Procedure</w:t>
      </w:r>
    </w:p>
    <w:bookmarkStart w:id="25" w:name="preparation"/>
    <w:p>
      <w:pPr>
        <w:pStyle w:val="Heading3"/>
      </w:pPr>
      <w:r>
        <w:t xml:space="preserve">5.1 Preparation</w:t>
      </w:r>
    </w:p>
    <w:p>
      <w:pPr>
        <w:numPr>
          <w:ilvl w:val="0"/>
          <w:numId w:val="1003"/>
        </w:numPr>
        <w:pStyle w:val="Compact"/>
      </w:pPr>
      <w:r>
        <w:t xml:space="preserve">Conduct a site survey to identify the specific substations and transmission lines to be tested.</w:t>
      </w:r>
    </w:p>
    <w:p>
      <w:pPr>
        <w:numPr>
          <w:ilvl w:val="0"/>
          <w:numId w:val="1003"/>
        </w:numPr>
        <w:pStyle w:val="Compact"/>
      </w:pPr>
      <w:r>
        <w:t xml:space="preserve">Review the existing documentation and historical data for the selected sites.</w:t>
      </w:r>
    </w:p>
    <w:p>
      <w:pPr>
        <w:numPr>
          <w:ilvl w:val="0"/>
          <w:numId w:val="1003"/>
        </w:numPr>
        <w:pStyle w:val="Compact"/>
      </w:pPr>
      <w:r>
        <w:t xml:space="preserve">Calibrate all equipment according to manufacturer specifications.</w:t>
      </w:r>
    </w:p>
    <w:p>
      <w:pPr>
        <w:numPr>
          <w:ilvl w:val="0"/>
          <w:numId w:val="1003"/>
        </w:numPr>
        <w:pStyle w:val="Compact"/>
      </w:pPr>
      <w:r>
        <w:t xml:space="preserve">Brief the team on the experiment protocol and safety procedures.</w:t>
      </w:r>
    </w:p>
    <w:bookmarkEnd w:id="25"/>
    <w:bookmarkStart w:id="26" w:name="load-testing"/>
    <w:p>
      <w:pPr>
        <w:pStyle w:val="Heading3"/>
      </w:pPr>
      <w:r>
        <w:t xml:space="preserve">5.2 Load Testing</w:t>
      </w:r>
    </w:p>
    <w:p>
      <w:pPr>
        <w:numPr>
          <w:ilvl w:val="0"/>
          <w:numId w:val="1004"/>
        </w:numPr>
        <w:pStyle w:val="Compact"/>
      </w:pPr>
      <w:r>
        <w:t xml:space="preserve">Set up the power quality analyzers at designated points in the grid.</w:t>
      </w:r>
    </w:p>
    <w:p>
      <w:pPr>
        <w:numPr>
          <w:ilvl w:val="0"/>
          <w:numId w:val="1004"/>
        </w:numPr>
        <w:pStyle w:val="Compact"/>
      </w:pPr>
      <w:r>
        <w:t xml:space="preserve">Gradually increase the load to simulate peak demand conditions.</w:t>
      </w:r>
    </w:p>
    <w:p>
      <w:pPr>
        <w:numPr>
          <w:ilvl w:val="0"/>
          <w:numId w:val="1004"/>
        </w:numPr>
        <w:pStyle w:val="Compact"/>
      </w:pPr>
      <w:r>
        <w:t xml:space="preserve">Record voltage, current, and power factor at regular intervals.</w:t>
      </w:r>
    </w:p>
    <w:p>
      <w:pPr>
        <w:numPr>
          <w:ilvl w:val="0"/>
          <w:numId w:val="1004"/>
        </w:numPr>
        <w:pStyle w:val="Compact"/>
      </w:pPr>
      <w:r>
        <w:t xml:space="preserve">Monitor the system for any signs of instability or overload.</w:t>
      </w:r>
    </w:p>
    <w:bookmarkEnd w:id="26"/>
    <w:bookmarkStart w:id="27" w:name="harmonic-distortion-analysis"/>
    <w:p>
      <w:pPr>
        <w:pStyle w:val="Heading3"/>
      </w:pPr>
      <w:r>
        <w:t xml:space="preserve">5.3 Harmonic Distortion Analysis</w:t>
      </w:r>
    </w:p>
    <w:p>
      <w:pPr>
        <w:numPr>
          <w:ilvl w:val="0"/>
          <w:numId w:val="1005"/>
        </w:numPr>
        <w:pStyle w:val="Compact"/>
      </w:pPr>
      <w:r>
        <w:t xml:space="preserve">Use the power quality analyzers to measure harmonic distortion levels.</w:t>
      </w:r>
    </w:p>
    <w:p>
      <w:pPr>
        <w:numPr>
          <w:ilvl w:val="0"/>
          <w:numId w:val="1005"/>
        </w:numPr>
        <w:pStyle w:val="Compact"/>
      </w:pPr>
      <w:r>
        <w:t xml:space="preserve">Identify any sources of harmonic pollution, such as non-linear loads.</w:t>
      </w:r>
    </w:p>
    <w:p>
      <w:pPr>
        <w:numPr>
          <w:ilvl w:val="0"/>
          <w:numId w:val="1005"/>
        </w:numPr>
        <w:pStyle w:val="Compact"/>
      </w:pPr>
      <w:r>
        <w:t xml:space="preserve">Document the results and compare them with the acceptable limits set by the International Electrotechnical Commission (IEC).</w:t>
      </w:r>
    </w:p>
    <w:bookmarkEnd w:id="27"/>
    <w:bookmarkStart w:id="28" w:name="transient-response-evaluation"/>
    <w:p>
      <w:pPr>
        <w:pStyle w:val="Heading3"/>
      </w:pPr>
      <w:r>
        <w:t xml:space="preserve">5.4 Transient Response Evaluation</w:t>
      </w:r>
    </w:p>
    <w:p>
      <w:pPr>
        <w:numPr>
          <w:ilvl w:val="0"/>
          <w:numId w:val="1006"/>
        </w:numPr>
        <w:pStyle w:val="Compact"/>
      </w:pPr>
      <w:r>
        <w:t xml:space="preserve">Inject controlled transients into the system using specialized equipment.</w:t>
      </w:r>
    </w:p>
    <w:p>
      <w:pPr>
        <w:numPr>
          <w:ilvl w:val="0"/>
          <w:numId w:val="1006"/>
        </w:numPr>
        <w:pStyle w:val="Compact"/>
      </w:pPr>
      <w:r>
        <w:t xml:space="preserve">Use oscilloscopes to capture the transient response of the grid.</w:t>
      </w:r>
    </w:p>
    <w:p>
      <w:pPr>
        <w:numPr>
          <w:ilvl w:val="0"/>
          <w:numId w:val="1006"/>
        </w:numPr>
        <w:pStyle w:val="Compact"/>
      </w:pPr>
      <w:r>
        <w:t xml:space="preserve">Analyze the data to assess the system's ability to handle sudden changes in load or fault conditions.</w:t>
      </w:r>
    </w:p>
    <w:bookmarkEnd w:id="28"/>
    <w:bookmarkStart w:id="29" w:name="integration-of-renewable-energy-sources"/>
    <w:p>
      <w:pPr>
        <w:pStyle w:val="Heading3"/>
      </w:pPr>
      <w:r>
        <w:t xml:space="preserve">5.5 Integration of Renewable Energy Sources</w:t>
      </w:r>
    </w:p>
    <w:p>
      <w:pPr>
        <w:numPr>
          <w:ilvl w:val="0"/>
          <w:numId w:val="1007"/>
        </w:numPr>
        <w:pStyle w:val="Compact"/>
      </w:pPr>
      <w:r>
        <w:t xml:space="preserve">Simulate the integration of solar and wind energy into the grid.</w:t>
      </w:r>
    </w:p>
    <w:p>
      <w:pPr>
        <w:numPr>
          <w:ilvl w:val="0"/>
          <w:numId w:val="1007"/>
        </w:numPr>
        <w:pStyle w:val="Compact"/>
      </w:pPr>
      <w:r>
        <w:t xml:space="preserve">Monitor the impact on grid stability and power quality.</w:t>
      </w:r>
    </w:p>
    <w:p>
      <w:pPr>
        <w:numPr>
          <w:ilvl w:val="0"/>
          <w:numId w:val="1007"/>
        </w:numPr>
        <w:pStyle w:val="Compact"/>
      </w:pPr>
      <w:r>
        <w:t xml:space="preserve">Evaluate the effectiveness of existing control systems in managing the variability of renewable energy sources.</w:t>
      </w:r>
    </w:p>
    <w:bookmarkEnd w:id="29"/>
    <w:bookmarkEnd w:id="30"/>
    <w:bookmarkStart w:id="31" w:name="data-analysis-and-reporting"/>
    <w:p>
      <w:pPr>
        <w:pStyle w:val="Heading2"/>
      </w:pPr>
      <w:r>
        <w:t xml:space="preserve">6. Data Analysis and Reporting</w:t>
      </w:r>
    </w:p>
    <w:p>
      <w:pPr>
        <w:pStyle w:val="FirstParagraph"/>
      </w:pPr>
      <w:r>
        <w:t xml:space="preserve">All data collected during the experiment will be analyzed using specialized software tools. The results will be compiled into a comprehensive report that includes:</w:t>
      </w:r>
    </w:p>
    <w:p>
      <w:pPr>
        <w:numPr>
          <w:ilvl w:val="0"/>
          <w:numId w:val="1008"/>
        </w:numPr>
        <w:pStyle w:val="Compact"/>
      </w:pPr>
      <w:r>
        <w:t xml:space="preserve">Summary of findings.</w:t>
      </w:r>
    </w:p>
    <w:p>
      <w:pPr>
        <w:numPr>
          <w:ilvl w:val="0"/>
          <w:numId w:val="1008"/>
        </w:numPr>
        <w:pStyle w:val="Compact"/>
      </w:pPr>
      <w:r>
        <w:t xml:space="preserve">Comparison with industry standards and benchmarks.</w:t>
      </w:r>
    </w:p>
    <w:p>
      <w:pPr>
        <w:numPr>
          <w:ilvl w:val="0"/>
          <w:numId w:val="1008"/>
        </w:numPr>
        <w:pStyle w:val="Compact"/>
      </w:pPr>
      <w:r>
        <w:t xml:space="preserve">Recommendations for improving grid stability and efficiency.</w:t>
      </w:r>
    </w:p>
    <w:p>
      <w:pPr>
        <w:numPr>
          <w:ilvl w:val="0"/>
          <w:numId w:val="1008"/>
        </w:numPr>
        <w:pStyle w:val="Compact"/>
      </w:pPr>
      <w:r>
        <w:t xml:space="preserve">Proposed actions for addressing any identified issues.</w:t>
      </w:r>
    </w:p>
    <w:p>
      <w:pPr>
        <w:pStyle w:val="FirstParagraph"/>
      </w:pPr>
      <w:r>
        <w:t xml:space="preserve">The report will be submitted to the Ministry of Energy and Industry of Qatar for review and approval.</w:t>
      </w:r>
    </w:p>
    <w:bookmarkEnd w:id="31"/>
    <w:bookmarkStart w:id="32" w:name="conclusion"/>
    <w:p>
      <w:pPr>
        <w:pStyle w:val="Heading2"/>
      </w:pPr>
      <w:r>
        <w:t xml:space="preserve">7. Conclusion</w:t>
      </w:r>
    </w:p>
    <w:p>
      <w:pPr>
        <w:pStyle w:val="FirstParagraph"/>
      </w:pPr>
      <w:r>
        <w:t xml:space="preserve">This Experiment Protocol provides a structured approach to evaluating the high-voltage grid stability in Qatar Doha. By following the outlined procedures, the team of Electrical Engineers will be able to gather valuable insights that will contribute to the ongoing efforts to enhance the reliability and efficiency of the national power distribution system. The findings from this study will support the country's vision for a sustainable and resilient energy future.</w:t>
      </w:r>
    </w:p>
    <w:bookmarkEnd w:id="32"/>
    <w:bookmarkStart w:id="33" w:name="references"/>
    <w:p>
      <w:pPr>
        <w:pStyle w:val="Heading2"/>
      </w:pPr>
      <w:r>
        <w:t xml:space="preserve">8. References</w:t>
      </w:r>
    </w:p>
    <w:p>
      <w:pPr>
        <w:numPr>
          <w:ilvl w:val="0"/>
          <w:numId w:val="1009"/>
        </w:numPr>
        <w:pStyle w:val="Compact"/>
      </w:pPr>
      <w:r>
        <w:t xml:space="preserve">Ministry of Energy and Industry of Qatar. (2023). National Grid Code.</w:t>
      </w:r>
    </w:p>
    <w:p>
      <w:pPr>
        <w:numPr>
          <w:ilvl w:val="0"/>
          <w:numId w:val="1009"/>
        </w:numPr>
        <w:pStyle w:val="Compact"/>
      </w:pPr>
      <w:r>
        <w:t xml:space="preserve">International Electrotechnical Commission. (2022). IEC 61000 Series: Electromagnetic Compatibility.</w:t>
      </w:r>
    </w:p>
    <w:p>
      <w:pPr>
        <w:numPr>
          <w:ilvl w:val="0"/>
          <w:numId w:val="1009"/>
        </w:numPr>
        <w:pStyle w:val="Compact"/>
      </w:pPr>
      <w:r>
        <w:t xml:space="preserve">IEEE Standards Association. (2021). IEEE Std 1547-2018: Standard for Interconnection and Interoperability of Distributed Energy Resources with Associated Electric Power Systems Interfaces.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2026-10-10T00:23:05Z</dcterms:created>
  <dcterms:modified xsi:type="dcterms:W3CDTF">2026-10-10T00:23:05Z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