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High-Voltage</w:t>
      </w:r>
      <w:r>
        <w:t xml:space="preserve"> </w:t>
      </w:r>
      <w:r>
        <w:t xml:space="preserve">Grid</w:t>
      </w:r>
      <w:r>
        <w:t xml:space="preserve"> </w:t>
      </w:r>
      <w:r>
        <w:t xml:space="preserve">Stability</w:t>
      </w:r>
      <w:r>
        <w:t xml:space="preserve"> </w:t>
      </w:r>
      <w:r>
        <w:t xml:space="preserve">Analysis</w:t>
      </w:r>
    </w:p>
    <w:p>
      <w:pPr>
        <w:pStyle w:val="FirstParagraph"/>
      </w:pPr>
      <w:r>
        <w:rPr>
          <w:bCs/>
          <w:b/>
        </w:rPr>
        <w:t xml:space="preserve">Document ID:</w:t>
      </w:r>
      <w:r>
        <w:t xml:space="preserve"> </w:t>
      </w:r>
      <w:r>
        <w:t xml:space="preserve">EP-MOW-2023-884</w:t>
      </w:r>
      <w:r>
        <w:br/>
      </w:r>
      <w:r>
        <w:rPr>
          <w:bCs/>
          <w:b/>
        </w:rPr>
        <w:t xml:space="preserve">Version:</w:t>
      </w:r>
      <w:r>
        <w:t xml:space="preserve"> </w:t>
      </w:r>
      <w:r>
        <w:t xml:space="preserve">1.2</w:t>
      </w:r>
      <w:r>
        <w:br/>
      </w:r>
      <w:r>
        <w:rPr>
          <w:bCs/>
          <w:b/>
        </w:rPr>
        <w:t xml:space="preserve">Classification:</w:t>
      </w:r>
      <w:r>
        <w:t xml:space="preserve"> </w:t>
      </w:r>
      <w:r>
        <w:t xml:space="preserve">Internal / Technical</w:t>
      </w:r>
    </w:p>
    <w:p>
      <w:pPr>
        <w:pStyle w:val="BodyText"/>
      </w:pPr>
      <w:r>
        <w:rPr>
          <w:bCs/>
          <w:b/>
        </w:rPr>
        <w:t xml:space="preserve">Date:</w:t>
      </w:r>
      <w:r>
        <w:t xml:space="preserve"> </w:t>
      </w:r>
      <w:r>
        <w:t xml:space="preserve">October 24, 2023</w:t>
      </w:r>
      <w:r>
        <w:br/>
      </w:r>
      <w:r>
        <w:rPr>
          <w:bCs/>
          <w:b/>
        </w:rPr>
        <w:t xml:space="preserve">Location:</w:t>
      </w:r>
      <w:r>
        <w:t xml:space="preserve"> </w:t>
      </w:r>
      <w:r>
        <w:t xml:space="preserve">Moscow, Russia</w:t>
      </w:r>
      <w:r>
        <w:br/>
      </w:r>
      <w:r>
        <w:rPr>
          <w:bCs/>
          <w:b/>
        </w:rPr>
        <w:t xml:space="preserve">Facility:</w:t>
      </w:r>
      <w:r>
        <w:t xml:space="preserve"> </w:t>
      </w:r>
      <w:r>
        <w:t xml:space="preserve">Central Grid Testing Laboratory, Oktyabrsky District</w:t>
      </w:r>
    </w:p>
    <w:bookmarkStart w:id="30" w:name="X10d4ab0716bcba8a921d5d37d4b193e819eedaa"/>
    <w:p>
      <w:pPr>
        <w:pStyle w:val="Heading1"/>
      </w:pPr>
      <w:r>
        <w:t xml:space="preserve">Experiment Protocol: High-Voltage Grid Stability Analysis</w:t>
      </w:r>
    </w:p>
    <w:p>
      <w:pPr>
        <w:pStyle w:val="FirstParagraph"/>
      </w:pPr>
      <w:r>
        <w:rPr>
          <w:bCs/>
          <w:b/>
        </w:rPr>
        <w:t xml:space="preserve">Prepared by:</w:t>
      </w:r>
      <w:r>
        <w:t xml:space="preserve"> </w:t>
      </w:r>
      <w:r>
        <w:t xml:space="preserve">Senior Electrical Engineer, Power Systems Division</w:t>
      </w:r>
      <w:r>
        <w:br/>
      </w:r>
      <w:r>
        <w:rPr>
          <w:bCs/>
          <w:b/>
        </w:rPr>
        <w:t xml:space="preserve">Subject:</w:t>
      </w:r>
      <w:r>
        <w:t xml:space="preserve"> </w:t>
      </w:r>
      <w:r>
        <w:t xml:space="preserve">Validation of transient stability in 500kV transmission lines under variable load conditions specific to the Moscow metropolitan area.</w:t>
      </w:r>
    </w:p>
    <w:bookmarkStart w:id="20" w:name="introduction-and-objective"/>
    <w:p>
      <w:pPr>
        <w:pStyle w:val="Heading2"/>
      </w:pPr>
      <w:r>
        <w:t xml:space="preserve">1. Introduction and Objective</w:t>
      </w:r>
    </w:p>
    <w:p>
      <w:pPr>
        <w:pStyle w:val="FirstParagraph"/>
      </w:pPr>
      <w:r>
        <w:t xml:space="preserve">This Experiment Protocol outlines the rigorous procedures required for the testing and validation of high-voltage transmission components. The primary objective is to assess the resilience of the electrical infrastructure against transient faults and load fluctuations. As an Electrical Engineer operating within the complex grid environment of Russia Moscow, it is imperative to ensure that all equipment meets the stringent requirements of GOST (State Standards) and aligns with the operational demands of the Unified Energy System of Russia (UES).</w:t>
      </w:r>
    </w:p>
    <w:p>
      <w:pPr>
        <w:pStyle w:val="BodyText"/>
      </w:pPr>
      <w:r>
        <w:t xml:space="preserve">The Moscow region represents one of the most densely populated and industrially active zones in the country. Consequently, the electrical grid must maintain unwavering stability. This protocol serves as the definitive guide for conducting experiments that simulate real-world stressors, ensuring that the grid can withstand peak winter loads and sudden generation shifts without catastrophic failure.</w:t>
      </w:r>
    </w:p>
    <w:bookmarkEnd w:id="20"/>
    <w:bookmarkStart w:id="21" w:name="scope-and-regulatory-compliance"/>
    <w:p>
      <w:pPr>
        <w:pStyle w:val="Heading2"/>
      </w:pPr>
      <w:r>
        <w:t xml:space="preserve">2. Scope and Regulatory Compliance</w:t>
      </w:r>
    </w:p>
    <w:p>
      <w:pPr>
        <w:pStyle w:val="FirstParagraph"/>
      </w:pPr>
      <w:r>
        <w:t xml:space="preserve">This protocol applies to all testing activities conducted at the designated facility in Moscow. All procedures must strictly adhere to the following regulatory frameworks:</w:t>
      </w:r>
    </w:p>
    <w:p>
      <w:pPr>
        <w:numPr>
          <w:ilvl w:val="0"/>
          <w:numId w:val="1001"/>
        </w:numPr>
        <w:pStyle w:val="Compact"/>
      </w:pPr>
      <w:r>
        <w:rPr>
          <w:bCs/>
          <w:b/>
        </w:rPr>
        <w:t xml:space="preserve">GOST R 50571:</w:t>
      </w:r>
      <w:r>
        <w:t xml:space="preserve"> </w:t>
      </w:r>
      <w:r>
        <w:t xml:space="preserve">Electrotechnical installations of low voltage buildings.</w:t>
      </w:r>
    </w:p>
    <w:p>
      <w:pPr>
        <w:numPr>
          <w:ilvl w:val="0"/>
          <w:numId w:val="1001"/>
        </w:numPr>
        <w:pStyle w:val="Compact"/>
      </w:pPr>
      <w:r>
        <w:rPr>
          <w:bCs/>
          <w:b/>
        </w:rPr>
        <w:t xml:space="preserve">PUE (Rules for Electrical Installations):</w:t>
      </w:r>
      <w:r>
        <w:t xml:space="preserve"> </w:t>
      </w:r>
      <w:r>
        <w:t xml:space="preserve">The primary code governing electrical safety and installation in Russia.</w:t>
      </w:r>
    </w:p>
    <w:p>
      <w:pPr>
        <w:numPr>
          <w:ilvl w:val="0"/>
          <w:numId w:val="1001"/>
        </w:numPr>
        <w:pStyle w:val="Compact"/>
      </w:pPr>
      <w:r>
        <w:rPr>
          <w:bCs/>
          <w:b/>
        </w:rPr>
        <w:t xml:space="preserve">Technical Regulations of the Customs Union:</w:t>
      </w:r>
      <w:r>
        <w:t xml:space="preserve"> </w:t>
      </w:r>
      <w:r>
        <w:t xml:space="preserve">Safety requirements for electrical equipment.</w:t>
      </w:r>
    </w:p>
    <w:p>
      <w:pPr>
        <w:pStyle w:val="FirstParagraph"/>
      </w:pPr>
      <w:r>
        <w:t xml:space="preserve">The Electrical Engineer in charge is responsible for verifying that all test equipment is calibrated according to the Russian Federal Agency for Technical Regulation and Metrology (Rosstandart) standards.</w:t>
      </w:r>
    </w:p>
    <w:bookmarkEnd w:id="21"/>
    <w:bookmarkStart w:id="22" w:name="safety-precautions"/>
    <w:p>
      <w:pPr>
        <w:pStyle w:val="Heading2"/>
      </w:pPr>
      <w:r>
        <w:t xml:space="preserve">3. Safety Precautions</w:t>
      </w:r>
    </w:p>
    <w:p>
      <w:pPr>
        <w:pStyle w:val="FirstParagraph"/>
      </w:pPr>
      <w:r>
        <w:t xml:space="preserve">Safety is the paramount concern in high-voltage experimentation. Given the high energy levels involved, the following safety measures are mandatory:</w:t>
      </w:r>
    </w:p>
    <w:p>
      <w:pPr>
        <w:numPr>
          <w:ilvl w:val="0"/>
          <w:numId w:val="1002"/>
        </w:numPr>
        <w:pStyle w:val="Compact"/>
      </w:pPr>
      <w:r>
        <w:rPr>
          <w:bCs/>
          <w:b/>
        </w:rPr>
        <w:t xml:space="preserve">Personal Protective Equipment (PPE):</w:t>
      </w:r>
      <w:r>
        <w:t xml:space="preserve"> </w:t>
      </w:r>
      <w:r>
        <w:t xml:space="preserve">All personnel must wear arc-flash rated suits, insulated gloves (Class 4), and safety goggles.</w:t>
      </w:r>
    </w:p>
    <w:p>
      <w:pPr>
        <w:numPr>
          <w:ilvl w:val="0"/>
          <w:numId w:val="1002"/>
        </w:numPr>
        <w:pStyle w:val="Compact"/>
      </w:pPr>
      <w:r>
        <w:rPr>
          <w:bCs/>
          <w:b/>
        </w:rPr>
        <w:t xml:space="preserve">Lockout/Tagout (LOTO):</w:t>
      </w:r>
      <w:r>
        <w:t xml:space="preserve"> </w:t>
      </w:r>
      <w:r>
        <w:t xml:space="preserve">Strict LOTO procedures must be implemented before any physical interaction with the test rig.</w:t>
      </w:r>
    </w:p>
    <w:p>
      <w:pPr>
        <w:numPr>
          <w:ilvl w:val="0"/>
          <w:numId w:val="1002"/>
        </w:numPr>
        <w:pStyle w:val="Compact"/>
      </w:pPr>
      <w:r>
        <w:rPr>
          <w:bCs/>
          <w:b/>
        </w:rPr>
        <w:t xml:space="preserve">Emergency Protocols:</w:t>
      </w:r>
      <w:r>
        <w:t xml:space="preserve"> </w:t>
      </w:r>
      <w:r>
        <w:t xml:space="preserve">In the event of a fault, the emergency shutdown button must be activated immediately. The facility is equipped with direct communication lines to the Moscow Emergency Response Service.</w:t>
      </w:r>
    </w:p>
    <w:p>
      <w:pPr>
        <w:numPr>
          <w:ilvl w:val="0"/>
          <w:numId w:val="1002"/>
        </w:numPr>
        <w:pStyle w:val="Compact"/>
      </w:pPr>
      <w:r>
        <w:rPr>
          <w:bCs/>
          <w:b/>
        </w:rPr>
        <w:t xml:space="preserve">Environmental Controls:</w:t>
      </w:r>
      <w:r>
        <w:t xml:space="preserve"> </w:t>
      </w:r>
      <w:r>
        <w:t xml:space="preserve">Testing must be halted if ambient temperature drops below -10°C or exceeds 35°C, as these extremes can affect sensor accuracy and equipment performance.</w:t>
      </w:r>
    </w:p>
    <w:bookmarkEnd w:id="22"/>
    <w:bookmarkStart w:id="23" w:name="experimental-setup"/>
    <w:p>
      <w:pPr>
        <w:pStyle w:val="Heading2"/>
      </w:pPr>
      <w:r>
        <w:t xml:space="preserve">4. Experimental Setup</w:t>
      </w:r>
    </w:p>
    <w:p>
      <w:pPr>
        <w:pStyle w:val="FirstParagraph"/>
      </w:pPr>
      <w:r>
        <w:t xml:space="preserve">The experiment will be conducted using a scaled model of the 500kV transmission line. The setup includes:</w:t>
      </w:r>
    </w:p>
    <w:p>
      <w:pPr>
        <w:numPr>
          <w:ilvl w:val="0"/>
          <w:numId w:val="1003"/>
        </w:numPr>
        <w:pStyle w:val="Compact"/>
      </w:pPr>
      <w:r>
        <w:rPr>
          <w:bCs/>
          <w:b/>
        </w:rPr>
        <w:t xml:space="preserve">Power Source:</w:t>
      </w:r>
      <w:r>
        <w:t xml:space="preserve"> </w:t>
      </w:r>
      <w:r>
        <w:t xml:space="preserve">A variable frequency drive capable of simulating grid frequencies between 49.5 Hz and 50.5 Hz.</w:t>
      </w:r>
    </w:p>
    <w:p>
      <w:pPr>
        <w:numPr>
          <w:ilvl w:val="0"/>
          <w:numId w:val="1003"/>
        </w:numPr>
        <w:pStyle w:val="Compact"/>
      </w:pPr>
      <w:r>
        <w:rPr>
          <w:bCs/>
          <w:b/>
        </w:rPr>
        <w:t xml:space="preserve">Load Bank:</w:t>
      </w:r>
      <w:r>
        <w:t xml:space="preserve"> </w:t>
      </w:r>
      <w:r>
        <w:t xml:space="preserve">A programmable resistive and inductive load bank to simulate residential and industrial consumption patterns typical of Moscow.</w:t>
      </w:r>
    </w:p>
    <w:p>
      <w:pPr>
        <w:numPr>
          <w:ilvl w:val="0"/>
          <w:numId w:val="1003"/>
        </w:numPr>
        <w:pStyle w:val="Compact"/>
      </w:pPr>
      <w:r>
        <w:rPr>
          <w:bCs/>
          <w:b/>
        </w:rPr>
        <w:t xml:space="preserve">Measurement Instruments:</w:t>
      </w:r>
      <w:r>
        <w:t xml:space="preserve"> </w:t>
      </w:r>
      <w:r>
        <w:t xml:space="preserve">High-precision oscilloscopes, power analyzers, and thermal imaging cameras.</w:t>
      </w:r>
    </w:p>
    <w:p>
      <w:pPr>
        <w:pStyle w:val="FirstParagraph"/>
      </w:pPr>
      <w:r>
        <w:t xml:space="preserve">All connections must be inspected by a second qualified Electrical Engineer before energization. The integrity of grounding systems must be verified to ensure resistance levels are below 0.5 Ohms.</w:t>
      </w:r>
    </w:p>
    <w:bookmarkEnd w:id="23"/>
    <w:bookmarkStart w:id="27" w:name="procedure"/>
    <w:p>
      <w:pPr>
        <w:pStyle w:val="Heading2"/>
      </w:pPr>
      <w:r>
        <w:t xml:space="preserve">5. Procedure</w:t>
      </w:r>
    </w:p>
    <w:p>
      <w:pPr>
        <w:pStyle w:val="FirstParagraph"/>
      </w:pPr>
      <w:r>
        <w:t xml:space="preserve">The experiment will proceed in three distinct phases:</w:t>
      </w:r>
    </w:p>
    <w:bookmarkStart w:id="24" w:name="phase-1-baseline-measurement"/>
    <w:p>
      <w:pPr>
        <w:pStyle w:val="Heading3"/>
      </w:pPr>
      <w:r>
        <w:t xml:space="preserve">Phase 1: Baseline Measurement</w:t>
      </w:r>
    </w:p>
    <w:p>
      <w:pPr>
        <w:pStyle w:val="FirstParagraph"/>
      </w:pPr>
      <w:r>
        <w:t xml:space="preserve">Establish baseline voltage, current, and frequency readings under nominal load conditions. Record data for a duration of 30 minutes to ensure stability.</w:t>
      </w:r>
    </w:p>
    <w:bookmarkEnd w:id="24"/>
    <w:bookmarkStart w:id="25" w:name="phase-2-transient-fault-simulation"/>
    <w:p>
      <w:pPr>
        <w:pStyle w:val="Heading3"/>
      </w:pPr>
      <w:r>
        <w:t xml:space="preserve">Phase 2: Transient Fault Simulation</w:t>
      </w:r>
    </w:p>
    <w:p>
      <w:pPr>
        <w:pStyle w:val="FirstParagraph"/>
      </w:pPr>
      <w:r>
        <w:t xml:space="preserve">Introduce simulated short-circuit faults at various points along the transmission line model. The protection relays must trip within 40 milliseconds. Record the transient response and recovery time.</w:t>
      </w:r>
    </w:p>
    <w:bookmarkEnd w:id="25"/>
    <w:bookmarkStart w:id="26" w:name="phase-3-overload-stress-test"/>
    <w:p>
      <w:pPr>
        <w:pStyle w:val="Heading3"/>
      </w:pPr>
      <w:r>
        <w:t xml:space="preserve">Phase 3: Overload Stress Test</w:t>
      </w:r>
    </w:p>
    <w:p>
      <w:pPr>
        <w:pStyle w:val="FirstParagraph"/>
      </w:pPr>
      <w:r>
        <w:t xml:space="preserve">Gradually increase the load to 120% of the rated capacity. Monitor temperature rise in conductors and insulation integrity. The system must remain stable for at least 15 minutes under these conditions.</w:t>
      </w:r>
    </w:p>
    <w:bookmarkEnd w:id="26"/>
    <w:bookmarkEnd w:id="27"/>
    <w:bookmarkStart w:id="28" w:name="data-collection-and-analysis"/>
    <w:p>
      <w:pPr>
        <w:pStyle w:val="Heading2"/>
      </w:pPr>
      <w:r>
        <w:t xml:space="preserve">6. Data Collection and Analysis</w:t>
      </w:r>
    </w:p>
    <w:p>
      <w:pPr>
        <w:pStyle w:val="FirstParagraph"/>
      </w:pPr>
      <w:r>
        <w:t xml:space="preserve">All data must be logged digitally and backed up immediately. The Electrical Engineer will analyze the data for:</w:t>
      </w:r>
    </w:p>
    <w:p>
      <w:pPr>
        <w:numPr>
          <w:ilvl w:val="0"/>
          <w:numId w:val="1004"/>
        </w:numPr>
        <w:pStyle w:val="Compact"/>
      </w:pPr>
      <w:r>
        <w:t xml:space="preserve">Voltage sag and swell magnitudes.</w:t>
      </w:r>
    </w:p>
    <w:p>
      <w:pPr>
        <w:numPr>
          <w:ilvl w:val="0"/>
          <w:numId w:val="1004"/>
        </w:numPr>
        <w:pStyle w:val="Compact"/>
      </w:pPr>
      <w:r>
        <w:t xml:space="preserve">Harmonic distortion levels.</w:t>
      </w:r>
    </w:p>
    <w:p>
      <w:pPr>
        <w:numPr>
          <w:ilvl w:val="0"/>
          <w:numId w:val="1004"/>
        </w:numPr>
        <w:pStyle w:val="Compact"/>
      </w:pPr>
      <w:r>
        <w:t xml:space="preserve">Thermal performance of components.</w:t>
      </w:r>
    </w:p>
    <w:p>
      <w:pPr>
        <w:pStyle w:val="FirstParagraph"/>
      </w:pPr>
      <w:r>
        <w:t xml:space="preserve">Any deviations from expected parameters must be documented and investigated. The analysis will determine whether the equipment meets the reliability standards required for deployment in the Moscow grid.</w:t>
      </w:r>
    </w:p>
    <w:bookmarkEnd w:id="28"/>
    <w:bookmarkStart w:id="29" w:name="conclusion-and-reporting"/>
    <w:p>
      <w:pPr>
        <w:pStyle w:val="Heading2"/>
      </w:pPr>
      <w:r>
        <w:t xml:space="preserve">7. Conclusion and Reporting</w:t>
      </w:r>
    </w:p>
    <w:p>
      <w:pPr>
        <w:pStyle w:val="FirstParagraph"/>
      </w:pPr>
      <w:r>
        <w:t xml:space="preserve">Upon completion of the experiment, a comprehensive report will be generated. This report will include:</w:t>
      </w:r>
    </w:p>
    <w:p>
      <w:pPr>
        <w:numPr>
          <w:ilvl w:val="0"/>
          <w:numId w:val="1005"/>
        </w:numPr>
        <w:pStyle w:val="Compact"/>
      </w:pPr>
      <w:r>
        <w:t xml:space="preserve">Summary of test conditions and results.</w:t>
      </w:r>
    </w:p>
    <w:p>
      <w:pPr>
        <w:numPr>
          <w:ilvl w:val="0"/>
          <w:numId w:val="1005"/>
        </w:numPr>
        <w:pStyle w:val="Compact"/>
      </w:pPr>
      <w:r>
        <w:t xml:space="preserve">Comparison of results against GOST and PUE standards.</w:t>
      </w:r>
    </w:p>
    <w:p>
      <w:pPr>
        <w:numPr>
          <w:ilvl w:val="0"/>
          <w:numId w:val="1005"/>
        </w:numPr>
        <w:pStyle w:val="Compact"/>
      </w:pPr>
      <w:r>
        <w:t xml:space="preserve">Recommendations for design improvements or operational adjustments.</w:t>
      </w:r>
    </w:p>
    <w:p>
      <w:pPr>
        <w:pStyle w:val="FirstParagraph"/>
      </w:pPr>
      <w:r>
        <w:t xml:space="preserve">The final approval of the equipment for use in the Moscow electrical network will be contingent upon the successful completion of this protocol and the sign-off of the lead Electrical Engineer.</w:t>
      </w:r>
    </w:p>
    <w:p>
      <w:pPr>
        <w:pStyle w:val="BodyText"/>
      </w:pPr>
      <w:r>
        <w:rPr>
          <w:bCs/>
          <w:b/>
        </w:rPr>
        <w:t xml:space="preserve">Note:</w:t>
      </w:r>
      <w:r>
        <w:t xml:space="preserve"> </w:t>
      </w:r>
      <w:r>
        <w:t xml:space="preserve">This document is confidential and intended solely for the use of authorized personnel involved in the electrical infrastructure projects in Russia Moscow. Unauthorized distribution is prohibited.</w:t>
      </w:r>
    </w:p>
    <w:p>
      <w:pPr>
        <w:pStyle w:val="BodyText"/>
      </w:pPr>
      <w:r>
        <w:rPr>
          <w:bCs/>
          <w:b/>
        </w:rPr>
        <w:t xml:space="preserve">Lead Electrical Engineer:</w:t>
      </w:r>
      <w:r>
        <w:br/>
      </w:r>
      <w:r>
        <w:t xml:space="preserve">__________________________</w:t>
      </w:r>
      <w:r>
        <w:br/>
      </w:r>
      <w:r>
        <w:t xml:space="preserve">Name: Ivan Petrov</w:t>
      </w:r>
      <w:r>
        <w:br/>
      </w:r>
      <w:r>
        <w:t xml:space="preserve">Date: _______________</w:t>
      </w:r>
    </w:p>
    <w:p>
      <w:pPr>
        <w:pStyle w:val="BodyText"/>
      </w:pPr>
      <w:r>
        <w:rPr>
          <w:bCs/>
          <w:b/>
        </w:rPr>
        <w:t xml:space="preserve">Safety Officer:</w:t>
      </w:r>
      <w:r>
        <w:br/>
      </w:r>
      <w:r>
        <w:t xml:space="preserve">__________________________</w:t>
      </w:r>
      <w:r>
        <w:br/>
      </w:r>
      <w:r>
        <w:t xml:space="preserve">Name: Elena Sokolova</w:t>
      </w:r>
      <w:r>
        <w:br/>
      </w:r>
      <w:r>
        <w:t xml:space="preserve">Date: _______________</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High-Voltage Grid Stability Analysis</dc:title>
  <dc:creator/>
  <dc:language>en</dc:language>
  <cp:keywords/>
  <dcterms:created xsi:type="dcterms:W3CDTF">2026-10-10T03:32:20Z</dcterms:created>
  <dcterms:modified xsi:type="dcterms:W3CDTF">2026-10-10T03:32:20Z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