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Jeddah, Saudi Arabia</w:t>
      </w:r>
    </w:p>
    <w:p>
      <w:pPr>
        <w:pStyle w:val="BodyText"/>
      </w:pPr>
      <w:r>
        <w:rPr>
          <w:bCs/>
          <w:b/>
        </w:rPr>
        <w:t xml:space="preserve">Prepared by:</w:t>
      </w:r>
      <w:r>
        <w:t xml:space="preserve"> </w:t>
      </w:r>
      <w:r>
        <w:t xml:space="preserve">Senior 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high-voltage grid stability analysis in Jeddah, Saudi Arabia. The primary objective is to evaluate the performance of the electrical grid under varying load conditions, ensuring compliance with the Saudi Electricity Company (SEC) standards and the Saudi Vision 2030 goals for sustainable energy infrastructure.</w:t>
      </w:r>
    </w:p>
    <w:p>
      <w:pPr>
        <w:pStyle w:val="BodyText"/>
      </w:pPr>
      <w:r>
        <w:t xml:space="preserve">The Electrical Engineer responsible for this experiment will focus on identifying potential vulnerabilities in the grid, optimizing power distribution, and enhancing the reliability of the electrical supply in Jeddah's rapidly growing urban areas.</w:t>
      </w:r>
    </w:p>
    <w:bookmarkEnd w:id="21"/>
    <w:bookmarkStart w:id="22" w:name="scope-and-applicability"/>
    <w:p>
      <w:pPr>
        <w:pStyle w:val="Heading2"/>
      </w:pPr>
      <w:r>
        <w:t xml:space="preserve">2. Scope and Applicability</w:t>
      </w:r>
    </w:p>
    <w:p>
      <w:pPr>
        <w:pStyle w:val="FirstParagraph"/>
      </w:pPr>
      <w:r>
        <w:t xml:space="preserve">This protocol applies to all Electrical Engineers and technical personnel involved in the testing and analysis of high-voltage electrical systems in Jeddah. It covers the following aspects:</w:t>
      </w:r>
    </w:p>
    <w:p>
      <w:pPr>
        <w:numPr>
          <w:ilvl w:val="0"/>
          <w:numId w:val="1001"/>
        </w:numPr>
        <w:pStyle w:val="Compact"/>
      </w:pPr>
      <w:r>
        <w:t xml:space="preserve">Load testing of transformers and substations.</w:t>
      </w:r>
    </w:p>
    <w:p>
      <w:pPr>
        <w:numPr>
          <w:ilvl w:val="0"/>
          <w:numId w:val="1001"/>
        </w:numPr>
        <w:pStyle w:val="Compact"/>
      </w:pPr>
      <w:r>
        <w:t xml:space="preserve">Harmonic distortion analysis.</w:t>
      </w:r>
    </w:p>
    <w:p>
      <w:pPr>
        <w:numPr>
          <w:ilvl w:val="0"/>
          <w:numId w:val="1001"/>
        </w:numPr>
        <w:pStyle w:val="Compact"/>
      </w:pPr>
      <w:r>
        <w:t xml:space="preserve">Power quality assessment.</w:t>
      </w:r>
    </w:p>
    <w:p>
      <w:pPr>
        <w:numPr>
          <w:ilvl w:val="0"/>
          <w:numId w:val="1001"/>
        </w:numPr>
        <w:pStyle w:val="Compact"/>
      </w:pPr>
      <w:r>
        <w:t xml:space="preserve">Compliance with local and international electrical standards.</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High-voltage experiments pose significant risks. All personnel must adhere to the following safety measures:</w:t>
      </w:r>
    </w:p>
    <w:p>
      <w:pPr>
        <w:numPr>
          <w:ilvl w:val="0"/>
          <w:numId w:val="1002"/>
        </w:numPr>
        <w:pStyle w:val="Compact"/>
      </w:pPr>
      <w:r>
        <w:t xml:space="preserve">Wear appropriate personal protective equipment (PPE), including insulated gloves, safety glasses, and flame-resistant clothing.</w:t>
      </w:r>
    </w:p>
    <w:p>
      <w:pPr>
        <w:numPr>
          <w:ilvl w:val="0"/>
          <w:numId w:val="1002"/>
        </w:numPr>
        <w:pStyle w:val="Compact"/>
      </w:pPr>
      <w:r>
        <w:t xml:space="preserve">Ensure all equipment is properly grounded and insulated.</w:t>
      </w:r>
    </w:p>
    <w:p>
      <w:pPr>
        <w:numPr>
          <w:ilvl w:val="0"/>
          <w:numId w:val="1002"/>
        </w:numPr>
        <w:pStyle w:val="Compact"/>
      </w:pPr>
      <w:r>
        <w:t xml:space="preserve">Conduct a risk assessment before starting the experiment.</w:t>
      </w:r>
    </w:p>
    <w:p>
      <w:pPr>
        <w:numPr>
          <w:ilvl w:val="0"/>
          <w:numId w:val="1002"/>
        </w:numPr>
        <w:pStyle w:val="Compact"/>
      </w:pPr>
      <w:r>
        <w:t xml:space="preserve">Have a qualified first aid responder on-site.</w:t>
      </w:r>
    </w:p>
    <w:p>
      <w:pPr>
        <w:numPr>
          <w:ilvl w:val="0"/>
          <w:numId w:val="1002"/>
        </w:numPr>
        <w:pStyle w:val="Compact"/>
      </w:pPr>
      <w:r>
        <w:t xml:space="preserve">Follow the emergency shutdown procedures in case of an incident.</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Transformer</w:t>
            </w:r>
          </w:p>
        </w:tc>
        <w:tc>
          <w:tcPr/>
          <w:p>
            <w:pPr>
              <w:pStyle w:val="Compact"/>
              <w:jc w:val="left"/>
            </w:pPr>
            <w:r>
              <w:t xml:space="preserve">132 kV / 33 kV</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IEC 61000-4-30 Class A</w:t>
            </w:r>
          </w:p>
        </w:tc>
        <w:tc>
          <w:tcPr/>
          <w:p>
            <w:pPr>
              <w:pStyle w:val="Compact"/>
              <w:jc w:val="left"/>
            </w:pPr>
            <w:r>
              <w:t xml:space="preserve">2</w:t>
            </w:r>
          </w:p>
        </w:tc>
      </w:tr>
      <w:tr>
        <w:tc>
          <w:tcPr/>
          <w:p>
            <w:pPr>
              <w:pStyle w:val="Compact"/>
              <w:jc w:val="left"/>
            </w:pPr>
            <w:r>
              <w:t xml:space="preserve">Harmonic Analyzer</w:t>
            </w:r>
          </w:p>
        </w:tc>
        <w:tc>
          <w:tcPr/>
          <w:p>
            <w:pPr>
              <w:pStyle w:val="Compact"/>
              <w:jc w:val="left"/>
            </w:pPr>
            <w:r>
              <w:t xml:space="preserve">Up to 50th harmonic</w:t>
            </w:r>
          </w:p>
        </w:tc>
        <w:tc>
          <w:tcPr/>
          <w:p>
            <w:pPr>
              <w:pStyle w:val="Compact"/>
              <w:jc w:val="left"/>
            </w:pPr>
            <w:r>
              <w:t xml:space="preserve">1</w:t>
            </w:r>
          </w:p>
        </w:tc>
      </w:tr>
      <w:tr>
        <w:tc>
          <w:tcPr/>
          <w:p>
            <w:pPr>
              <w:pStyle w:val="Compact"/>
              <w:jc w:val="left"/>
            </w:pPr>
            <w:r>
              <w:t xml:space="preserve">Insulated Tools</w:t>
            </w:r>
          </w:p>
        </w:tc>
        <w:tc>
          <w:tcPr/>
          <w:p>
            <w:pPr>
              <w:pStyle w:val="Compact"/>
              <w:jc w:val="left"/>
            </w:pPr>
            <w:r>
              <w:t xml:space="preserve">1000 V rated</w:t>
            </w:r>
          </w:p>
        </w:tc>
        <w:tc>
          <w:tcPr/>
          <w:p>
            <w:pPr>
              <w:pStyle w:val="Compact"/>
              <w:jc w:val="left"/>
            </w:pPr>
            <w:r>
              <w:t xml:space="preserve">Set</w:t>
            </w:r>
          </w:p>
        </w:tc>
      </w:tr>
      <w:tr>
        <w:tc>
          <w:tcPr/>
          <w:p>
            <w:pPr>
              <w:pStyle w:val="Compact"/>
              <w:jc w:val="left"/>
            </w:pPr>
            <w:r>
              <w:t xml:space="preserve">Personal Protective Equipment (PPE)</w:t>
            </w:r>
          </w:p>
        </w:tc>
        <w:tc>
          <w:tcPr/>
          <w:p>
            <w:pPr>
              <w:pStyle w:val="Compact"/>
              <w:jc w:val="left"/>
            </w:pPr>
            <w:r>
              <w:t xml:space="preserve">As per safety standards</w:t>
            </w:r>
          </w:p>
        </w:tc>
        <w:tc>
          <w:tcPr/>
          <w:p>
            <w:pPr>
              <w:pStyle w:val="Compact"/>
              <w:jc w:val="left"/>
            </w:pPr>
            <w:r>
              <w:t xml:space="preserve">Per person</w:t>
            </w:r>
          </w:p>
        </w:tc>
      </w:tr>
    </w:tbl>
    <w:bookmarkEnd w:id="24"/>
    <w:bookmarkStart w:id="29" w:name="procedure"/>
    <w:p>
      <w:pPr>
        <w:pStyle w:val="Heading2"/>
      </w:pPr>
      <w:r>
        <w:t xml:space="preserve">5. Procedure</w:t>
      </w:r>
    </w:p>
    <w:bookmarkStart w:id="25" w:name="preparation"/>
    <w:p>
      <w:pPr>
        <w:pStyle w:val="Heading3"/>
      </w:pPr>
      <w:r>
        <w:t xml:space="preserve">5.1 Preparation</w:t>
      </w:r>
    </w:p>
    <w:p>
      <w:pPr>
        <w:numPr>
          <w:ilvl w:val="0"/>
          <w:numId w:val="1003"/>
        </w:numPr>
        <w:pStyle w:val="Compact"/>
      </w:pPr>
      <w:r>
        <w:t xml:space="preserve">Conduct a site inspection to identify potential hazards and ensure all safety measures are in place.</w:t>
      </w:r>
    </w:p>
    <w:p>
      <w:pPr>
        <w:numPr>
          <w:ilvl w:val="0"/>
          <w:numId w:val="1003"/>
        </w:numPr>
        <w:pStyle w:val="Compact"/>
      </w:pPr>
      <w:r>
        <w:t xml:space="preserve">Calibrate all measurement instruments according to manufacturer specifications.</w:t>
      </w:r>
    </w:p>
    <w:p>
      <w:pPr>
        <w:numPr>
          <w:ilvl w:val="0"/>
          <w:numId w:val="1003"/>
        </w:numPr>
        <w:pStyle w:val="Compact"/>
      </w:pPr>
      <w:r>
        <w:t xml:space="preserve">Review the electrical schematics and load profiles of the Jeddah grid section under test.</w:t>
      </w:r>
    </w:p>
    <w:bookmarkEnd w:id="25"/>
    <w:bookmarkStart w:id="26" w:name="load-testing"/>
    <w:p>
      <w:pPr>
        <w:pStyle w:val="Heading3"/>
      </w:pPr>
      <w:r>
        <w:t xml:space="preserve">5.2 Load Testing</w:t>
      </w:r>
    </w:p>
    <w:p>
      <w:pPr>
        <w:numPr>
          <w:ilvl w:val="0"/>
          <w:numId w:val="1004"/>
        </w:numPr>
        <w:pStyle w:val="Compact"/>
      </w:pPr>
      <w:r>
        <w:t xml:space="preserve">Gradually increase the load on the transformer in increments of 10% up to 100% of its rated capacity.</w:t>
      </w:r>
    </w:p>
    <w:p>
      <w:pPr>
        <w:numPr>
          <w:ilvl w:val="0"/>
          <w:numId w:val="1004"/>
        </w:numPr>
        <w:pStyle w:val="Compact"/>
      </w:pPr>
      <w:r>
        <w:t xml:space="preserve">Monitor voltage, current, and temperature at each load level.</w:t>
      </w:r>
    </w:p>
    <w:p>
      <w:pPr>
        <w:numPr>
          <w:ilvl w:val="0"/>
          <w:numId w:val="1004"/>
        </w:numPr>
        <w:pStyle w:val="Compact"/>
      </w:pPr>
      <w:r>
        <w:t xml:space="preserve">Record any anomalies or deviations from expected performance.</w:t>
      </w:r>
    </w:p>
    <w:bookmarkEnd w:id="26"/>
    <w:bookmarkStart w:id="27" w:name="harmonic-distortion-analysis"/>
    <w:p>
      <w:pPr>
        <w:pStyle w:val="Heading3"/>
      </w:pPr>
      <w:r>
        <w:t xml:space="preserve">5.3 Harmonic Distortion Analysis</w:t>
      </w:r>
    </w:p>
    <w:p>
      <w:pPr>
        <w:numPr>
          <w:ilvl w:val="0"/>
          <w:numId w:val="1005"/>
        </w:numPr>
        <w:pStyle w:val="Compact"/>
      </w:pPr>
      <w:r>
        <w:t xml:space="preserve">Connect the harmonic analyzer to the grid at designated test points.</w:t>
      </w:r>
    </w:p>
    <w:p>
      <w:pPr>
        <w:numPr>
          <w:ilvl w:val="0"/>
          <w:numId w:val="1005"/>
        </w:numPr>
        <w:pStyle w:val="Compact"/>
      </w:pPr>
      <w:r>
        <w:t xml:space="preserve">Measure total harmonic distortion (THD) for voltage and current.</w:t>
      </w:r>
    </w:p>
    <w:p>
      <w:pPr>
        <w:numPr>
          <w:ilvl w:val="0"/>
          <w:numId w:val="1005"/>
        </w:numPr>
        <w:pStyle w:val="Compact"/>
      </w:pPr>
      <w:r>
        <w:t xml:space="preserve">Identify any significant harmonic components that may affect power quality.</w:t>
      </w:r>
    </w:p>
    <w:bookmarkEnd w:id="27"/>
    <w:bookmarkStart w:id="28" w:name="power-quality-assessment"/>
    <w:p>
      <w:pPr>
        <w:pStyle w:val="Heading3"/>
      </w:pPr>
      <w:r>
        <w:t xml:space="preserve">5.4 Power Quality Assessment</w:t>
      </w:r>
    </w:p>
    <w:p>
      <w:pPr>
        <w:numPr>
          <w:ilvl w:val="0"/>
          <w:numId w:val="1006"/>
        </w:numPr>
        <w:pStyle w:val="Compact"/>
      </w:pPr>
      <w:r>
        <w:t xml:space="preserve">Use the power quality analyzer to record voltage sags, swells, and interruptions over a 24-hour period.</w:t>
      </w:r>
    </w:p>
    <w:p>
      <w:pPr>
        <w:numPr>
          <w:ilvl w:val="0"/>
          <w:numId w:val="1006"/>
        </w:numPr>
        <w:pStyle w:val="Compact"/>
      </w:pPr>
      <w:r>
        <w:t xml:space="preserve">Analyze the data to determine compliance with SEC standards and IEC 61000-2-2.</w:t>
      </w:r>
    </w:p>
    <w:bookmarkEnd w:id="28"/>
    <w:bookmarkEnd w:id="29"/>
    <w:bookmarkStart w:id="30" w:name="data-analysis-and-reporting"/>
    <w:p>
      <w:pPr>
        <w:pStyle w:val="Heading2"/>
      </w:pPr>
      <w:r>
        <w:t xml:space="preserve">6. Data Analysis and Reporting</w:t>
      </w:r>
    </w:p>
    <w:p>
      <w:pPr>
        <w:pStyle w:val="FirstParagraph"/>
      </w:pPr>
      <w:r>
        <w:t xml:space="preserve">The Electrical Engineer will compile all data collected during the experiment and perform a detailed analysis. The report should include:</w:t>
      </w:r>
    </w:p>
    <w:p>
      <w:pPr>
        <w:numPr>
          <w:ilvl w:val="0"/>
          <w:numId w:val="1007"/>
        </w:numPr>
        <w:pStyle w:val="Compact"/>
      </w:pPr>
      <w:r>
        <w:t xml:space="preserve">A summary of the experimental setup and procedures.</w:t>
      </w:r>
    </w:p>
    <w:p>
      <w:pPr>
        <w:numPr>
          <w:ilvl w:val="0"/>
          <w:numId w:val="1007"/>
        </w:numPr>
        <w:pStyle w:val="Compact"/>
      </w:pPr>
      <w:r>
        <w:t xml:space="preserve">Graphs and tables presenting the measured data.</w:t>
      </w:r>
    </w:p>
    <w:p>
      <w:pPr>
        <w:numPr>
          <w:ilvl w:val="0"/>
          <w:numId w:val="1007"/>
        </w:numPr>
        <w:pStyle w:val="Compact"/>
      </w:pPr>
      <w:r>
        <w:t xml:space="preserve">An assessment of the grid's performance against established standards.</w:t>
      </w:r>
    </w:p>
    <w:p>
      <w:pPr>
        <w:numPr>
          <w:ilvl w:val="0"/>
          <w:numId w:val="1007"/>
        </w:numPr>
        <w:pStyle w:val="Compact"/>
      </w:pPr>
      <w:r>
        <w:t xml:space="preserve">Recommendations for improving grid stability and power quality.</w:t>
      </w:r>
    </w:p>
    <w:bookmarkEnd w:id="30"/>
    <w:bookmarkStart w:id="31" w:name="compliance-and-standards"/>
    <w:p>
      <w:pPr>
        <w:pStyle w:val="Heading2"/>
      </w:pPr>
      <w:r>
        <w:t xml:space="preserve">7. Compliance and Standards</w:t>
      </w:r>
    </w:p>
    <w:p>
      <w:pPr>
        <w:pStyle w:val="FirstParagraph"/>
      </w:pPr>
      <w:r>
        <w:t xml:space="preserve">This experiment protocol adheres to the following standards and regulations:</w:t>
      </w:r>
    </w:p>
    <w:p>
      <w:pPr>
        <w:numPr>
          <w:ilvl w:val="0"/>
          <w:numId w:val="1008"/>
        </w:numPr>
        <w:pStyle w:val="Compact"/>
      </w:pPr>
      <w:r>
        <w:t xml:space="preserve">Saudi Electricity Company (SEC) Technical Standards.</w:t>
      </w:r>
    </w:p>
    <w:p>
      <w:pPr>
        <w:numPr>
          <w:ilvl w:val="0"/>
          <w:numId w:val="1008"/>
        </w:numPr>
        <w:pStyle w:val="Compact"/>
      </w:pPr>
      <w:r>
        <w:t xml:space="preserve">International Electrotechnical Commission (IEC) standards.</w:t>
      </w:r>
    </w:p>
    <w:p>
      <w:pPr>
        <w:numPr>
          <w:ilvl w:val="0"/>
          <w:numId w:val="1008"/>
        </w:numPr>
        <w:pStyle w:val="Compact"/>
      </w:pPr>
      <w:r>
        <w:t xml:space="preserve">National Electrical Code (NEC) guidelines.</w:t>
      </w:r>
    </w:p>
    <w:p>
      <w:pPr>
        <w:numPr>
          <w:ilvl w:val="0"/>
          <w:numId w:val="1008"/>
        </w:numPr>
        <w:pStyle w:val="Compact"/>
      </w:pPr>
      <w:r>
        <w:t xml:space="preserve">Saudi Vision 2030 sustainability goals.</w:t>
      </w:r>
    </w:p>
    <w:bookmarkEnd w:id="31"/>
    <w:bookmarkStart w:id="32" w:name="conclusion"/>
    <w:p>
      <w:pPr>
        <w:pStyle w:val="Heading2"/>
      </w:pPr>
      <w:r>
        <w:t xml:space="preserve">8. Conclusion</w:t>
      </w:r>
    </w:p>
    <w:p>
      <w:pPr>
        <w:pStyle w:val="FirstParagraph"/>
      </w:pPr>
      <w:r>
        <w:t xml:space="preserve">This Experiment Protocol provides a comprehensive framework for conducting high-voltage grid stability analysis in Jeddah, Saudi Arabia. By following these procedures, Electrical Engineers can ensure the reliability and efficiency of the electrical grid, contributing to the broader goals of sustainable development and energy security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2026-10-10T02:25:55Z</dcterms:created>
  <dcterms:modified xsi:type="dcterms:W3CDTF">2026-10-10T02:25:55Z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