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Electrical Engineer</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safety measures, and technical requirements for conducting electrical experiments in Johannesburg, South Africa. The protocol is designed for Electrical Engineers working in compliance with local regulations, including the South African National Standards (SANS) and the Occupational Health and Safety Act (OHSA). The primary objective is to ensure the safe and efficient execution of electrical experiments while adhering to industry best practices.</w:t>
      </w:r>
    </w:p>
    <w:bookmarkEnd w:id="21"/>
    <w:bookmarkStart w:id="22" w:name="scope"/>
    <w:p>
      <w:pPr>
        <w:pStyle w:val="Heading2"/>
      </w:pPr>
      <w:r>
        <w:t xml:space="preserve">2. Scope</w:t>
      </w:r>
    </w:p>
    <w:p>
      <w:pPr>
        <w:pStyle w:val="FirstParagraph"/>
      </w:pPr>
      <w:r>
        <w:t xml:space="preserve">This protocol applies to all Electrical Engineers conducting experiments in Johannesburg, South Africa. It covers the setup, execution, and documentation of experiments involving electrical systems, components, and equipment. The protocol is applicable to both laboratory and field experiments.</w:t>
      </w:r>
    </w:p>
    <w:bookmarkEnd w:id="22"/>
    <w:bookmarkStart w:id="23" w:name="regulatory-compliance"/>
    <w:p>
      <w:pPr>
        <w:pStyle w:val="Heading2"/>
      </w:pPr>
      <w:r>
        <w:t xml:space="preserve">3. Regulatory Compliance</w:t>
      </w:r>
    </w:p>
    <w:p>
      <w:pPr>
        <w:pStyle w:val="FirstParagraph"/>
      </w:pPr>
      <w:r>
        <w:t xml:space="preserve">All experiments must comply with the following regulations and standards:</w:t>
      </w:r>
    </w:p>
    <w:p>
      <w:pPr>
        <w:numPr>
          <w:ilvl w:val="0"/>
          <w:numId w:val="1001"/>
        </w:numPr>
        <w:pStyle w:val="Compact"/>
      </w:pPr>
      <w:r>
        <w:t xml:space="preserve">South African National Standards (SANS 10142-1:2019) for the wiring of premises.</w:t>
      </w:r>
    </w:p>
    <w:p>
      <w:pPr>
        <w:numPr>
          <w:ilvl w:val="0"/>
          <w:numId w:val="1001"/>
        </w:numPr>
        <w:pStyle w:val="Compact"/>
      </w:pPr>
      <w:r>
        <w:t xml:space="preserve">Occupational Health and Safety Act (OHSA) of South Africa.</w:t>
      </w:r>
    </w:p>
    <w:p>
      <w:pPr>
        <w:numPr>
          <w:ilvl w:val="0"/>
          <w:numId w:val="1001"/>
        </w:numPr>
        <w:pStyle w:val="Compact"/>
      </w:pPr>
      <w:r>
        <w:t xml:space="preserve">Electrical Installation Regulations (EIR) of South Africa.</w:t>
      </w:r>
    </w:p>
    <w:p>
      <w:pPr>
        <w:numPr>
          <w:ilvl w:val="0"/>
          <w:numId w:val="1001"/>
        </w:numPr>
        <w:pStyle w:val="Compact"/>
      </w:pPr>
      <w:r>
        <w:t xml:space="preserve">Local Johannesburg municipal bylaws and regulations.</w:t>
      </w:r>
    </w:p>
    <w:p>
      <w:pPr>
        <w:pStyle w:val="FirstParagraph"/>
      </w:pPr>
      <w:r>
        <w:rPr>
          <w:bCs/>
          <w:b/>
        </w:rPr>
        <w:t xml:space="preserve">Note:</w:t>
      </w:r>
      <w:r>
        <w:t xml:space="preserve"> </w:t>
      </w:r>
      <w:r>
        <w:t xml:space="preserve">Failure to comply with these regulations may result in legal consequences and safety hazards.</w:t>
      </w:r>
    </w:p>
    <w:bookmarkEnd w:id="23"/>
    <w:bookmarkStart w:id="24" w:name="safety-measures"/>
    <w:p>
      <w:pPr>
        <w:pStyle w:val="Heading2"/>
      </w:pPr>
      <w:r>
        <w:t xml:space="preserve">4. Safety Measures</w:t>
      </w:r>
    </w:p>
    <w:p>
      <w:pPr>
        <w:pStyle w:val="FirstParagraph"/>
      </w:pPr>
      <w:r>
        <w:t xml:space="preserve">Safety is the top priority in all electrical experiments. The following measures must be strictly followed:</w:t>
      </w:r>
    </w:p>
    <w:p>
      <w:pPr>
        <w:numPr>
          <w:ilvl w:val="0"/>
          <w:numId w:val="1002"/>
        </w:numPr>
        <w:pStyle w:val="Compact"/>
      </w:pPr>
      <w:r>
        <w:t xml:space="preserve">Personal Protective Equipment (PPE): All Electrical Engineers must wear appropriate PPE, including insulated gloves, safety glasses, and non-conductive footwear.</w:t>
      </w:r>
    </w:p>
    <w:p>
      <w:pPr>
        <w:numPr>
          <w:ilvl w:val="0"/>
          <w:numId w:val="1002"/>
        </w:numPr>
        <w:pStyle w:val="Compact"/>
      </w:pPr>
      <w:r>
        <w:t xml:space="preserve">Lockout/Tagout (LOTO): Implement LOTO procedures to ensure that electrical equipment is de-energized before work begins.</w:t>
      </w:r>
    </w:p>
    <w:p>
      <w:pPr>
        <w:numPr>
          <w:ilvl w:val="0"/>
          <w:numId w:val="1002"/>
        </w:numPr>
        <w:pStyle w:val="Compact"/>
      </w:pPr>
      <w:r>
        <w:t xml:space="preserve">Emergency Procedures: Familiarize yourself with emergency shutdown procedures and the location of fire extinguishers and first aid kits.</w:t>
      </w:r>
    </w:p>
    <w:p>
      <w:pPr>
        <w:numPr>
          <w:ilvl w:val="0"/>
          <w:numId w:val="1002"/>
        </w:numPr>
        <w:pStyle w:val="Compact"/>
      </w:pPr>
      <w:r>
        <w:t xml:space="preserve">Training: All personnel must undergo safety training specific to electrical experiments.</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Multimeter</w:t>
            </w:r>
          </w:p>
        </w:tc>
        <w:tc>
          <w:tcPr/>
          <w:p>
            <w:pPr>
              <w:pStyle w:val="Compact"/>
              <w:jc w:val="left"/>
            </w:pPr>
            <w:r>
              <w:t xml:space="preserve">2</w:t>
            </w:r>
          </w:p>
        </w:tc>
        <w:tc>
          <w:tcPr/>
          <w:p>
            <w:pPr>
              <w:pStyle w:val="Compact"/>
              <w:jc w:val="left"/>
            </w:pPr>
            <w:r>
              <w:t xml:space="preserve">Digital, CAT III 600V</w:t>
            </w:r>
          </w:p>
        </w:tc>
      </w:tr>
      <w:tr>
        <w:tc>
          <w:tcPr/>
          <w:p>
            <w:pPr>
              <w:pStyle w:val="Compact"/>
              <w:jc w:val="left"/>
            </w:pPr>
            <w:r>
              <w:t xml:space="preserve">Oscilloscope</w:t>
            </w:r>
          </w:p>
        </w:tc>
        <w:tc>
          <w:tcPr/>
          <w:p>
            <w:pPr>
              <w:pStyle w:val="Compact"/>
              <w:jc w:val="left"/>
            </w:pPr>
            <w:r>
              <w:t xml:space="preserve">1</w:t>
            </w:r>
          </w:p>
        </w:tc>
        <w:tc>
          <w:tcPr/>
          <w:p>
            <w:pPr>
              <w:pStyle w:val="Compact"/>
              <w:jc w:val="left"/>
            </w:pPr>
            <w:r>
              <w:t xml:space="preserve">Bandwidth ≥ 100 MHz</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Adjustable DC, 0-30V, 5A</w:t>
            </w:r>
          </w:p>
        </w:tc>
      </w:tr>
      <w:tr>
        <w:tc>
          <w:tcPr/>
          <w:p>
            <w:pPr>
              <w:pStyle w:val="Compact"/>
              <w:jc w:val="left"/>
            </w:pPr>
            <w:r>
              <w:t xml:space="preserve">Insulated Tools</w:t>
            </w:r>
          </w:p>
        </w:tc>
        <w:tc>
          <w:tcPr/>
          <w:p>
            <w:pPr>
              <w:pStyle w:val="Compact"/>
              <w:jc w:val="left"/>
            </w:pPr>
            <w:r>
              <w:t xml:space="preserve">Set</w:t>
            </w:r>
          </w:p>
        </w:tc>
        <w:tc>
          <w:tcPr/>
          <w:p>
            <w:pPr>
              <w:pStyle w:val="Compact"/>
              <w:jc w:val="left"/>
            </w:pPr>
            <w:r>
              <w:t xml:space="preserve">CAT III 1000V rated</w:t>
            </w:r>
          </w:p>
        </w:tc>
      </w:tr>
      <w:tr>
        <w:tc>
          <w:tcPr/>
          <w:p>
            <w:pPr>
              <w:pStyle w:val="Compact"/>
              <w:jc w:val="left"/>
            </w:pPr>
            <w:r>
              <w:t xml:space="preserve">Test Leads</w:t>
            </w:r>
          </w:p>
        </w:tc>
        <w:tc>
          <w:tcPr/>
          <w:p>
            <w:pPr>
              <w:pStyle w:val="Compact"/>
              <w:jc w:val="left"/>
            </w:pPr>
            <w:r>
              <w:t xml:space="preserve">2 sets</w:t>
            </w:r>
          </w:p>
        </w:tc>
        <w:tc>
          <w:tcPr/>
          <w:p>
            <w:pPr>
              <w:pStyle w:val="Compact"/>
              <w:jc w:val="left"/>
            </w:pPr>
            <w:r>
              <w:t xml:space="preserve">Insulated, CAT III 600V</w:t>
            </w:r>
          </w:p>
        </w:tc>
      </w:tr>
    </w:tbl>
    <w:bookmarkEnd w:id="25"/>
    <w:bookmarkStart w:id="26" w:name="experiment-procedure"/>
    <w:p>
      <w:pPr>
        <w:pStyle w:val="Heading2"/>
      </w:pPr>
      <w:r>
        <w:t xml:space="preserve">6. Experiment Procedure</w:t>
      </w:r>
    </w:p>
    <w:p>
      <w:pPr>
        <w:pStyle w:val="FirstParagraph"/>
      </w:pPr>
      <w:r>
        <w:t xml:space="preserve">The following steps outline the procedure for conducting the experiment:</w:t>
      </w:r>
    </w:p>
    <w:p>
      <w:pPr>
        <w:numPr>
          <w:ilvl w:val="0"/>
          <w:numId w:val="1003"/>
        </w:numPr>
        <w:pStyle w:val="Compact"/>
      </w:pPr>
      <w:r>
        <w:rPr>
          <w:bCs/>
          <w:b/>
        </w:rPr>
        <w:t xml:space="preserve">Preparation:</w:t>
      </w:r>
      <w:r>
        <w:t xml:space="preserve"> </w:t>
      </w:r>
      <w:r>
        <w:t xml:space="preserve">Review the experiment objectives and ensure all equipment is calibrated and in good working condition.</w:t>
      </w:r>
    </w:p>
    <w:p>
      <w:pPr>
        <w:numPr>
          <w:ilvl w:val="0"/>
          <w:numId w:val="1003"/>
        </w:numPr>
        <w:pStyle w:val="Compact"/>
      </w:pPr>
      <w:r>
        <w:rPr>
          <w:bCs/>
          <w:b/>
        </w:rPr>
        <w:t xml:space="preserve">Setup:</w:t>
      </w:r>
      <w:r>
        <w:t xml:space="preserve"> </w:t>
      </w:r>
      <w:r>
        <w:t xml:space="preserve">Assemble the electrical circuit according to the schematic diagram. Ensure all connections are secure and insulated.</w:t>
      </w:r>
    </w:p>
    <w:p>
      <w:pPr>
        <w:numPr>
          <w:ilvl w:val="0"/>
          <w:numId w:val="1003"/>
        </w:numPr>
        <w:pStyle w:val="Compact"/>
      </w:pPr>
      <w:r>
        <w:rPr>
          <w:bCs/>
          <w:b/>
        </w:rPr>
        <w:t xml:space="preserve">Safety Check:</w:t>
      </w:r>
      <w:r>
        <w:t xml:space="preserve"> </w:t>
      </w:r>
      <w:r>
        <w:t xml:space="preserve">Perform a visual inspection of the setup. Verify that all safety measures are in place.</w:t>
      </w:r>
    </w:p>
    <w:p>
      <w:pPr>
        <w:numPr>
          <w:ilvl w:val="0"/>
          <w:numId w:val="1003"/>
        </w:numPr>
        <w:pStyle w:val="Compact"/>
      </w:pPr>
      <w:r>
        <w:rPr>
          <w:bCs/>
          <w:b/>
        </w:rPr>
        <w:t xml:space="preserve">Power On:</w:t>
      </w:r>
      <w:r>
        <w:t xml:space="preserve"> </w:t>
      </w:r>
      <w:r>
        <w:t xml:space="preserve">Gradually apply power to the circuit while monitoring for any abnormalities.</w:t>
      </w:r>
    </w:p>
    <w:p>
      <w:pPr>
        <w:numPr>
          <w:ilvl w:val="0"/>
          <w:numId w:val="1003"/>
        </w:numPr>
        <w:pStyle w:val="Compact"/>
      </w:pPr>
      <w:r>
        <w:rPr>
          <w:bCs/>
          <w:b/>
        </w:rPr>
        <w:t xml:space="preserve">Data Collection:</w:t>
      </w:r>
      <w:r>
        <w:t xml:space="preserve"> </w:t>
      </w:r>
      <w:r>
        <w:t xml:space="preserve">Record all measurements and observations using the specified instruments.</w:t>
      </w:r>
    </w:p>
    <w:p>
      <w:pPr>
        <w:numPr>
          <w:ilvl w:val="0"/>
          <w:numId w:val="1003"/>
        </w:numPr>
        <w:pStyle w:val="Compact"/>
      </w:pPr>
      <w:r>
        <w:rPr>
          <w:bCs/>
          <w:b/>
        </w:rPr>
        <w:t xml:space="preserve">Power Off:</w:t>
      </w:r>
      <w:r>
        <w:t xml:space="preserve"> </w:t>
      </w:r>
      <w:r>
        <w:t xml:space="preserve">Safely de-energize the circuit and disconnect all equipment.</w:t>
      </w:r>
    </w:p>
    <w:p>
      <w:pPr>
        <w:numPr>
          <w:ilvl w:val="0"/>
          <w:numId w:val="1003"/>
        </w:numPr>
        <w:pStyle w:val="Compact"/>
      </w:pPr>
      <w:r>
        <w:rPr>
          <w:bCs/>
          <w:b/>
        </w:rPr>
        <w:t xml:space="preserve">Cleanup:</w:t>
      </w:r>
      <w:r>
        <w:t xml:space="preserve"> </w:t>
      </w:r>
      <w:r>
        <w:t xml:space="preserve">Organize and store all equipment and materials properly.</w:t>
      </w:r>
    </w:p>
    <w:bookmarkEnd w:id="26"/>
    <w:bookmarkStart w:id="27" w:name="data-analysis-and-reporting"/>
    <w:p>
      <w:pPr>
        <w:pStyle w:val="Heading2"/>
      </w:pPr>
      <w:r>
        <w:t xml:space="preserve">7. Data Analysis and Reporting</w:t>
      </w:r>
    </w:p>
    <w:p>
      <w:pPr>
        <w:pStyle w:val="FirstParagraph"/>
      </w:pPr>
      <w:r>
        <w:t xml:space="preserve">After completing the experiment, the Electrical Engineer must analyze the collected data and prepare a detailed report. The report should include:</w:t>
      </w:r>
    </w:p>
    <w:p>
      <w:pPr>
        <w:numPr>
          <w:ilvl w:val="0"/>
          <w:numId w:val="1004"/>
        </w:numPr>
        <w:pStyle w:val="Compact"/>
      </w:pPr>
      <w:r>
        <w:t xml:space="preserve">Experiment objectives and methodology.</w:t>
      </w:r>
    </w:p>
    <w:p>
      <w:pPr>
        <w:numPr>
          <w:ilvl w:val="0"/>
          <w:numId w:val="1004"/>
        </w:numPr>
        <w:pStyle w:val="Compact"/>
      </w:pPr>
      <w:r>
        <w:t xml:space="preserve">Data tables and graphs.</w:t>
      </w:r>
    </w:p>
    <w:p>
      <w:pPr>
        <w:numPr>
          <w:ilvl w:val="0"/>
          <w:numId w:val="1004"/>
        </w:numPr>
        <w:pStyle w:val="Compact"/>
      </w:pPr>
      <w:r>
        <w:t xml:space="preserve">Analysis of results and comparison with theoretical expectations.</w:t>
      </w:r>
    </w:p>
    <w:p>
      <w:pPr>
        <w:numPr>
          <w:ilvl w:val="0"/>
          <w:numId w:val="1004"/>
        </w:numPr>
        <w:pStyle w:val="Compact"/>
      </w:pPr>
      <w:r>
        <w:t xml:space="preserve">Conclusions and recommendations.</w:t>
      </w:r>
    </w:p>
    <w:p>
      <w:pPr>
        <w:numPr>
          <w:ilvl w:val="0"/>
          <w:numId w:val="1004"/>
        </w:numPr>
        <w:pStyle w:val="Compact"/>
      </w:pPr>
      <w:r>
        <w:t xml:space="preserve">Any deviations from the protocol and their impact on the results.</w:t>
      </w:r>
    </w:p>
    <w:bookmarkEnd w:id="27"/>
    <w:bookmarkStart w:id="28" w:name="environmental-considerations"/>
    <w:p>
      <w:pPr>
        <w:pStyle w:val="Heading2"/>
      </w:pPr>
      <w:r>
        <w:t xml:space="preserve">8. Environmental Considerations</w:t>
      </w:r>
    </w:p>
    <w:p>
      <w:pPr>
        <w:pStyle w:val="FirstParagraph"/>
      </w:pPr>
      <w:r>
        <w:t xml:space="preserve">Given the environmental conditions in Johannesburg, South Africa, the following considerations must be taken into account:</w:t>
      </w:r>
    </w:p>
    <w:p>
      <w:pPr>
        <w:numPr>
          <w:ilvl w:val="0"/>
          <w:numId w:val="1005"/>
        </w:numPr>
        <w:pStyle w:val="Compact"/>
      </w:pPr>
      <w:r>
        <w:t xml:space="preserve">Temperature: Ensure that equipment is operated within its specified temperature range.</w:t>
      </w:r>
    </w:p>
    <w:p>
      <w:pPr>
        <w:numPr>
          <w:ilvl w:val="0"/>
          <w:numId w:val="1005"/>
        </w:numPr>
        <w:pStyle w:val="Compact"/>
      </w:pPr>
      <w:r>
        <w:t xml:space="preserve">Humidity: Use dehumidifiers if necessary to prevent moisture-related issues.</w:t>
      </w:r>
    </w:p>
    <w:p>
      <w:pPr>
        <w:numPr>
          <w:ilvl w:val="0"/>
          <w:numId w:val="1005"/>
        </w:numPr>
        <w:pStyle w:val="Compact"/>
      </w:pPr>
      <w:r>
        <w:t xml:space="preserve">Dust: Protect equipment from dust using covers or enclosures.</w:t>
      </w:r>
    </w:p>
    <w:bookmarkEnd w:id="28"/>
    <w:bookmarkStart w:id="29" w:name="conclusion"/>
    <w:p>
      <w:pPr>
        <w:pStyle w:val="Heading2"/>
      </w:pPr>
      <w:r>
        <w:t xml:space="preserve">9. Conclusion</w:t>
      </w:r>
    </w:p>
    <w:p>
      <w:pPr>
        <w:pStyle w:val="FirstParagraph"/>
      </w:pPr>
      <w:r>
        <w:t xml:space="preserve">This Experiment Protocol provides a comprehensive guide for Electrical Engineers conducting experiments in Johannesburg, South Africa. By adhering to the outlined procedures, safety measures, and regulatory requirements, engineers can ensure the successful and safe execution of their experiments. Continuous review and updates to this protocol are recommended to reflect changes in regulations and best practices.</w:t>
      </w:r>
    </w:p>
    <w:bookmarkEnd w:id="29"/>
    <w:bookmarkStart w:id="30" w:name="references"/>
    <w:p>
      <w:pPr>
        <w:pStyle w:val="Heading2"/>
      </w:pPr>
      <w:r>
        <w:t xml:space="preserve">10. References</w:t>
      </w:r>
    </w:p>
    <w:p>
      <w:pPr>
        <w:numPr>
          <w:ilvl w:val="0"/>
          <w:numId w:val="1006"/>
        </w:numPr>
        <w:pStyle w:val="Compact"/>
      </w:pPr>
      <w:r>
        <w:t xml:space="preserve">SANS 10142-1:2019 - The wiring of premises.</w:t>
      </w:r>
    </w:p>
    <w:p>
      <w:pPr>
        <w:numPr>
          <w:ilvl w:val="0"/>
          <w:numId w:val="1006"/>
        </w:numPr>
        <w:pStyle w:val="Compact"/>
      </w:pPr>
      <w:r>
        <w:t xml:space="preserve">Occupational Health and Safety Act, No. 85 of 1993.</w:t>
      </w:r>
    </w:p>
    <w:p>
      <w:pPr>
        <w:numPr>
          <w:ilvl w:val="0"/>
          <w:numId w:val="1006"/>
        </w:numPr>
        <w:pStyle w:val="Compact"/>
      </w:pPr>
      <w:r>
        <w:t xml:space="preserve">Electrical Installation Regulations, 2009.</w:t>
      </w:r>
    </w:p>
    <w:p>
      <w:pPr>
        <w:numPr>
          <w:ilvl w:val="0"/>
          <w:numId w:val="1006"/>
        </w:numPr>
        <w:pStyle w:val="Compact"/>
      </w:pPr>
      <w:r>
        <w:t xml:space="preserve">Johannesburg City Council Bylaws.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South Africa Johannesburg</dc:title>
  <dc:creator/>
  <dc:language>en</dc:language>
  <cp:keywords/>
  <dcterms:created xsi:type="dcterms:W3CDTF">2026-10-10T03:13:16Z</dcterms:created>
  <dcterms:modified xsi:type="dcterms:W3CDTF">2026-10-10T03:13:16Z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