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experiment-protocol"/>
    <w:p>
      <w:pPr>
        <w:pStyle w:val="Heading1"/>
      </w:pPr>
      <w:r>
        <w:t xml:space="preserve">Experiment Protocol</w:t>
      </w:r>
    </w:p>
    <w:p>
      <w:pPr>
        <w:pStyle w:val="FirstParagraph"/>
      </w:pPr>
      <w:r>
        <w:t xml:space="preserve">High-Voltage Grid Stability Analysis Under Renewable Integration</w:t>
      </w:r>
    </w:p>
    <w:p>
      <w:pPr>
        <w:pStyle w:val="BodyText"/>
      </w:pPr>
      <w:r>
        <w:rPr>
          <w:bCs/>
          <w:b/>
        </w:rPr>
        <w:t xml:space="preserve">Protocol ID:</w:t>
      </w:r>
      <w:r>
        <w:t xml:space="preserve"> </w:t>
      </w:r>
      <w:r>
        <w:t xml:space="preserve">ZH-EE-2023-089</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Zurich University of Applied Sciences (ZHAW), Wädenswil Campus, Switzerland</w:t>
      </w:r>
    </w:p>
    <w:p>
      <w:pPr>
        <w:pStyle w:val="BodyText"/>
      </w:pPr>
      <w:r>
        <w:rPr>
          <w:bCs/>
          <w:b/>
        </w:rPr>
        <w:t xml:space="preserve">Lead Electrical Engineer:</w:t>
      </w:r>
      <w:r>
        <w:t xml:space="preserve"> </w:t>
      </w:r>
      <w:r>
        <w:t xml:space="preserve">Dr. Lukas Müller, Senior Researcher</w:t>
      </w:r>
    </w:p>
    <w:p>
      <w:pPr>
        <w:pStyle w:val="BodyText"/>
      </w:pPr>
      <w:r>
        <w:rPr>
          <w:bCs/>
          <w:b/>
        </w:rPr>
        <w:t xml:space="preserve">Department:</w:t>
      </w:r>
      <w:r>
        <w:t xml:space="preserve"> </w:t>
      </w:r>
      <w:r>
        <w:t xml:space="preserve">Institute of Energy Systems and High Voltage Engineering</w:t>
      </w:r>
    </w:p>
    <w:p>
      <w:pPr>
        <w:pStyle w:val="BodyText"/>
      </w:pPr>
      <w:r>
        <w:rPr>
          <w:bCs/>
          <w:b/>
        </w:rPr>
        <w:t xml:space="preserve">Version:</w:t>
      </w:r>
      <w:r>
        <w:t xml:space="preserve"> </w:t>
      </w:r>
      <w:r>
        <w:t xml:space="preserve">2.1 (Final)</w:t>
      </w:r>
    </w:p>
    <w:bookmarkEnd w:id="20"/>
    <w:bookmarkStart w:id="21" w:name="objective-and-scope"/>
    <w:p>
      <w:pPr>
        <w:pStyle w:val="Heading2"/>
      </w:pPr>
      <w:r>
        <w:t xml:space="preserve">1. Objective and Scope</w:t>
      </w:r>
    </w:p>
    <w:p>
      <w:pPr>
        <w:pStyle w:val="FirstParagraph"/>
      </w:pPr>
      <w:r>
        <w:t xml:space="preserve">This</w:t>
      </w:r>
      <w:r>
        <w:t xml:space="preserve"> </w:t>
      </w:r>
      <w:r>
        <w:rPr>
          <w:bCs/>
          <w:b/>
        </w:rPr>
        <w:t xml:space="preserve">Experiment Protocol</w:t>
      </w:r>
      <w:r>
        <w:t xml:space="preserve"> </w:t>
      </w:r>
      <w:r>
        <w:t xml:space="preserve">outlines the rigorous methodology for testing the transient stability of a simulated 380 kV transmission network segment. The primary objective is to evaluate the performance of advanced power electronics converters used in wind and solar integration within the Swiss grid infrastructure. As an</w:t>
      </w:r>
      <w:r>
        <w:t xml:space="preserve"> </w:t>
      </w:r>
      <w:r>
        <w:rPr>
          <w:bCs/>
          <w:b/>
        </w:rPr>
        <w:t xml:space="preserve">Electrical Engineer</w:t>
      </w:r>
      <w:r>
        <w:t xml:space="preserve"> </w:t>
      </w:r>
      <w:r>
        <w:t xml:space="preserve">operating in</w:t>
      </w:r>
      <w:r>
        <w:t xml:space="preserve"> </w:t>
      </w:r>
      <w:r>
        <w:rPr>
          <w:bCs/>
          <w:b/>
        </w:rPr>
        <w:t xml:space="preserve">Switzerland Zurich</w:t>
      </w:r>
      <w:r>
        <w:t xml:space="preserve">, adherence to the highest standards of precision, safety, and regulatory compliance is mandatory.</w:t>
      </w:r>
    </w:p>
    <w:p>
      <w:pPr>
        <w:pStyle w:val="BodyText"/>
      </w:pPr>
      <w:r>
        <w:t xml:space="preserve">The experiment aims to quantify frequency deviations and voltage dips during simulated fault conditions, ensuring that the grid remains stable in accordance with Swissgrid's technical requirements and the Swiss Federal Office of Energy (SFOE) guidelines.</w:t>
      </w:r>
    </w:p>
    <w:bookmarkEnd w:id="21"/>
    <w:bookmarkStart w:id="22" w:name="regulatory-compliance-and-standards"/>
    <w:p>
      <w:pPr>
        <w:pStyle w:val="Heading2"/>
      </w:pPr>
      <w:r>
        <w:t xml:space="preserve">2. Regulatory Compliance and Standards</w:t>
      </w:r>
    </w:p>
    <w:p>
      <w:pPr>
        <w:pStyle w:val="FirstParagraph"/>
      </w:pPr>
      <w:r>
        <w:t xml:space="preserve">All procedures defined in this protocol strictly adhere to the following standards relevant to the</w:t>
      </w:r>
      <w:r>
        <w:t xml:space="preserve"> </w:t>
      </w:r>
      <w:r>
        <w:rPr>
          <w:bCs/>
          <w:b/>
        </w:rPr>
        <w:t xml:space="preserve">Switzerland Zurich</w:t>
      </w:r>
      <w:r>
        <w:t xml:space="preserve"> </w:t>
      </w:r>
      <w:r>
        <w:t xml:space="preserve">region:</w:t>
      </w:r>
    </w:p>
    <w:p>
      <w:pPr>
        <w:numPr>
          <w:ilvl w:val="0"/>
          <w:numId w:val="1001"/>
        </w:numPr>
        <w:pStyle w:val="Compact"/>
      </w:pPr>
      <w:r>
        <w:rPr>
          <w:bCs/>
          <w:b/>
        </w:rPr>
        <w:t xml:space="preserve">SEV 1000:</w:t>
      </w:r>
      <w:r>
        <w:t xml:space="preserve"> </w:t>
      </w:r>
      <w:r>
        <w:t xml:space="preserve">Swiss standard for the design and operation of electrical installations.</w:t>
      </w:r>
    </w:p>
    <w:p>
      <w:pPr>
        <w:numPr>
          <w:ilvl w:val="0"/>
          <w:numId w:val="1001"/>
        </w:numPr>
        <w:pStyle w:val="Compact"/>
      </w:pPr>
      <w:r>
        <w:rPr>
          <w:bCs/>
          <w:b/>
        </w:rPr>
        <w:t xml:space="preserve">EN 50160:</w:t>
      </w:r>
      <w:r>
        <w:t xml:space="preserve"> </w:t>
      </w:r>
      <w:r>
        <w:t xml:space="preserve">Voltage characteristics of electricity supplied by public distribution systems.</w:t>
      </w:r>
    </w:p>
    <w:p>
      <w:pPr>
        <w:numPr>
          <w:ilvl w:val="0"/>
          <w:numId w:val="1001"/>
        </w:numPr>
        <w:pStyle w:val="Compact"/>
      </w:pPr>
      <w:r>
        <w:rPr>
          <w:bCs/>
          <w:b/>
        </w:rPr>
        <w:t xml:space="preserve">Swissgrid Grid Code:</w:t>
      </w:r>
      <w:r>
        <w:t xml:space="preserve"> </w:t>
      </w:r>
      <w:r>
        <w:t xml:space="preserve">Specific requirements for grid connection and stability.</w:t>
      </w:r>
    </w:p>
    <w:p>
      <w:pPr>
        <w:numPr>
          <w:ilvl w:val="0"/>
          <w:numId w:val="1001"/>
        </w:numPr>
        <w:pStyle w:val="Compact"/>
      </w:pPr>
      <w:r>
        <w:rPr>
          <w:bCs/>
          <w:b/>
        </w:rPr>
        <w:t xml:space="preserve">UVV 04:</w:t>
      </w:r>
      <w:r>
        <w:t xml:space="preserve"> </w:t>
      </w:r>
      <w:r>
        <w:t xml:space="preserve">Swiss Ordinance on the Prevention of Accidents in Electrical Installations.</w:t>
      </w:r>
    </w:p>
    <w:bookmarkEnd w:id="22"/>
    <w:bookmarkStart w:id="23" w:name="equipment-and-instrumentation"/>
    <w:p>
      <w:pPr>
        <w:pStyle w:val="Heading2"/>
      </w:pPr>
      <w:r>
        <w:t xml:space="preserve">3. Equipment and Instrumentation</w:t>
      </w:r>
    </w:p>
    <w:p>
      <w:pPr>
        <w:pStyle w:val="FirstParagraph"/>
      </w:pPr>
      <w:r>
        <w:t xml:space="preserve">The</w:t>
      </w:r>
      <w:r>
        <w:t xml:space="preserve"> </w:t>
      </w:r>
      <w:r>
        <w:rPr>
          <w:bCs/>
          <w:b/>
        </w:rPr>
        <w:t xml:space="preserve">Electrical Engineer</w:t>
      </w:r>
      <w:r>
        <w:t xml:space="preserve"> </w:t>
      </w:r>
      <w:r>
        <w:t xml:space="preserve">must verify the calibration status of all equipment prior to commencing the experiment. The following hardware is required: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c>
          <w:tcPr/>
          <w:p>
            <w:pPr>
              <w:pStyle w:val="Compact"/>
              <w:jc w:val="left"/>
            </w:pPr>
            <w:r>
              <w:t xml:space="preserve">Calibration Due</w:t>
            </w:r>
          </w:p>
        </w:tc>
      </w:tr>
      <w:tr>
        <w:tc>
          <w:tcPr/>
          <w:p>
            <w:pPr>
              <w:pStyle w:val="Compact"/>
              <w:jc w:val="left"/>
            </w:pPr>
            <w:r>
              <w:t xml:space="preserve">Real-Time Simulator (RTS)</w:t>
            </w:r>
          </w:p>
        </w:tc>
        <w:tc>
          <w:tcPr/>
          <w:p>
            <w:pPr>
              <w:pStyle w:val="Compact"/>
              <w:jc w:val="left"/>
            </w:pPr>
            <w:r>
              <w:t xml:space="preserve">OPAL-RT OP4510, 380kV Model</w:t>
            </w:r>
          </w:p>
        </w:tc>
        <w:tc>
          <w:tcPr/>
          <w:p>
            <w:pPr>
              <w:pStyle w:val="Compact"/>
              <w:jc w:val="left"/>
            </w:pPr>
            <w:r>
              <w:t xml:space="preserve">1</w:t>
            </w:r>
          </w:p>
        </w:tc>
        <w:tc>
          <w:tcPr/>
          <w:p>
            <w:pPr>
              <w:pStyle w:val="Compact"/>
              <w:jc w:val="left"/>
            </w:pPr>
            <w:r>
              <w:t xml:space="preserve">Dec 2023</w:t>
            </w:r>
          </w:p>
        </w:tc>
      </w:tr>
      <w:tr>
        <w:tc>
          <w:tcPr/>
          <w:p>
            <w:pPr>
              <w:pStyle w:val="Compact"/>
              <w:jc w:val="left"/>
            </w:pPr>
            <w:r>
              <w:t xml:space="preserve">Power Converter Unit</w:t>
            </w:r>
          </w:p>
        </w:tc>
        <w:tc>
          <w:tcPr/>
          <w:p>
            <w:pPr>
              <w:pStyle w:val="Compact"/>
              <w:jc w:val="left"/>
            </w:pPr>
            <w:r>
              <w:t xml:space="preserve">2 MW, IGBT-based, Grid-Forming</w:t>
            </w:r>
          </w:p>
        </w:tc>
        <w:tc>
          <w:tcPr/>
          <w:p>
            <w:pPr>
              <w:pStyle w:val="Compact"/>
              <w:jc w:val="left"/>
            </w:pPr>
            <w:r>
              <w:t xml:space="preserve">2</w:t>
            </w:r>
          </w:p>
        </w:tc>
        <w:tc>
          <w:tcPr/>
          <w:p>
            <w:pPr>
              <w:pStyle w:val="Compact"/>
              <w:jc w:val="left"/>
            </w:pPr>
            <w:r>
              <w:t xml:space="preserve">Nov 2023</w:t>
            </w:r>
          </w:p>
        </w:tc>
      </w:tr>
      <w:tr>
        <w:tc>
          <w:tcPr/>
          <w:p>
            <w:pPr>
              <w:pStyle w:val="Compact"/>
              <w:jc w:val="left"/>
            </w:pPr>
            <w:r>
              <w:t xml:space="preserve">High-Voltage Probe</w:t>
            </w:r>
          </w:p>
        </w:tc>
        <w:tc>
          <w:tcPr/>
          <w:p>
            <w:pPr>
              <w:pStyle w:val="Compact"/>
              <w:jc w:val="left"/>
            </w:pPr>
            <w:r>
              <w:t xml:space="preserve">1000:1, Bandwidth 100 MHz</w:t>
            </w:r>
          </w:p>
        </w:tc>
        <w:tc>
          <w:tcPr/>
          <w:p>
            <w:pPr>
              <w:pStyle w:val="Compact"/>
              <w:jc w:val="left"/>
            </w:pPr>
            <w:r>
              <w:t xml:space="preserve">4</w:t>
            </w:r>
          </w:p>
        </w:tc>
        <w:tc>
          <w:tcPr/>
          <w:p>
            <w:pPr>
              <w:pStyle w:val="Compact"/>
              <w:jc w:val="left"/>
            </w:pPr>
            <w:r>
              <w:t xml:space="preserve">Jan 2024</w:t>
            </w:r>
          </w:p>
        </w:tc>
      </w:tr>
      <w:tr>
        <w:tc>
          <w:tcPr/>
          <w:p>
            <w:pPr>
              <w:pStyle w:val="Compact"/>
              <w:jc w:val="left"/>
            </w:pPr>
            <w:r>
              <w:t xml:space="preserve">Current Transformer</w:t>
            </w:r>
          </w:p>
        </w:tc>
        <w:tc>
          <w:tcPr/>
          <w:p>
            <w:pPr>
              <w:pStyle w:val="Compact"/>
              <w:jc w:val="left"/>
            </w:pPr>
            <w:r>
              <w:t xml:space="preserve">Class 0.2S, 1000A/5A</w:t>
            </w:r>
          </w:p>
        </w:tc>
        <w:tc>
          <w:tcPr/>
          <w:p>
            <w:pPr>
              <w:pStyle w:val="Compact"/>
              <w:jc w:val="left"/>
            </w:pPr>
            <w:r>
              <w:t xml:space="preserve">4</w:t>
            </w:r>
          </w:p>
        </w:tc>
        <w:tc>
          <w:tcPr/>
          <w:p>
            <w:pPr>
              <w:pStyle w:val="Compact"/>
              <w:jc w:val="left"/>
            </w:pPr>
            <w:r>
              <w:t xml:space="preserve">Jan 2024</w:t>
            </w:r>
          </w:p>
        </w:tc>
      </w:tr>
      <w:tr>
        <w:tc>
          <w:tcPr/>
          <w:p>
            <w:pPr>
              <w:pStyle w:val="Compact"/>
              <w:jc w:val="left"/>
            </w:pPr>
            <w:r>
              <w:t xml:space="preserve">Data Acquisition System</w:t>
            </w:r>
          </w:p>
        </w:tc>
        <w:tc>
          <w:tcPr/>
          <w:p>
            <w:pPr>
              <w:pStyle w:val="Compact"/>
              <w:jc w:val="left"/>
            </w:pPr>
            <w:r>
              <w:t xml:space="preserve">16-bit, 1 MS/s per channel</w:t>
            </w:r>
          </w:p>
        </w:tc>
        <w:tc>
          <w:tcPr/>
          <w:p>
            <w:pPr>
              <w:pStyle w:val="Compact"/>
              <w:jc w:val="left"/>
            </w:pPr>
            <w:r>
              <w:t xml:space="preserve">1</w:t>
            </w:r>
          </w:p>
        </w:tc>
        <w:tc>
          <w:tcPr/>
          <w:p>
            <w:pPr>
              <w:pStyle w:val="Compact"/>
              <w:jc w:val="left"/>
            </w:pPr>
            <w:r>
              <w:t xml:space="preserve">Dec 2023</w:t>
            </w:r>
          </w:p>
        </w:tc>
      </w:tr>
    </w:tbl>
    <w:bookmarkEnd w:id="23"/>
    <w:bookmarkStart w:id="24" w:name="safety-procedures"/>
    <w:p>
      <w:pPr>
        <w:pStyle w:val="Heading2"/>
      </w:pPr>
      <w:r>
        <w:t xml:space="preserve">4. Safety Procedures</w:t>
      </w:r>
    </w:p>
    <w:p>
      <w:pPr>
        <w:pStyle w:val="FirstParagraph"/>
      </w:pPr>
      <w:r>
        <w:rPr>
          <w:bCs/>
          <w:b/>
        </w:rPr>
        <w:t xml:space="preserve">CRITICAL SAFETY NOTICE:</w:t>
      </w:r>
      <w:r>
        <w:t xml:space="preserve"> </w:t>
      </w:r>
      <w:r>
        <w:t xml:space="preserve">This experiment involves high-voltage equipment. Only qualified</w:t>
      </w:r>
      <w:r>
        <w:t xml:space="preserve"> </w:t>
      </w:r>
      <w:r>
        <w:rPr>
          <w:bCs/>
          <w:b/>
        </w:rPr>
        <w:t xml:space="preserve">Electrical Engineers</w:t>
      </w:r>
      <w:r>
        <w:t xml:space="preserve"> </w:t>
      </w:r>
      <w:r>
        <w:t xml:space="preserve">with valid HV authorization are permitted in the test area. Strict adherence to Lockout/Tagout (LOTO) procedures is required.</w:t>
      </w:r>
    </w:p>
    <w:p>
      <w:pPr>
        <w:pStyle w:val="BodyText"/>
      </w:pPr>
      <w:r>
        <w:t xml:space="preserve">Before initiating the experiment in the Zurich laboratory facility, the following safety checks must be performed:</w:t>
      </w:r>
    </w:p>
    <w:p>
      <w:pPr>
        <w:numPr>
          <w:ilvl w:val="0"/>
          <w:numId w:val="1002"/>
        </w:numPr>
        <w:pStyle w:val="Compact"/>
      </w:pPr>
      <w:r>
        <w:t xml:space="preserve">Verify that all grounding connections are secure and meet SEV 1000 requirements.</w:t>
      </w:r>
    </w:p>
    <w:p>
      <w:pPr>
        <w:numPr>
          <w:ilvl w:val="0"/>
          <w:numId w:val="1002"/>
        </w:numPr>
        <w:pStyle w:val="Compact"/>
      </w:pPr>
      <w:r>
        <w:t xml:space="preserve">Ensure emergency stop buttons are functional and accessible.</w:t>
      </w:r>
    </w:p>
    <w:p>
      <w:pPr>
        <w:numPr>
          <w:ilvl w:val="0"/>
          <w:numId w:val="1002"/>
        </w:numPr>
        <w:pStyle w:val="Compact"/>
      </w:pPr>
      <w:r>
        <w:t xml:space="preserve">Confirm that arc-flash protective gear is worn by all personnel.</w:t>
      </w:r>
    </w:p>
    <w:p>
      <w:pPr>
        <w:numPr>
          <w:ilvl w:val="0"/>
          <w:numId w:val="1002"/>
        </w:numPr>
        <w:pStyle w:val="Compact"/>
      </w:pPr>
      <w:r>
        <w:t xml:space="preserve">Check that the fire suppression system is active.</w:t>
      </w:r>
    </w:p>
    <w:p>
      <w:pPr>
        <w:numPr>
          <w:ilvl w:val="0"/>
          <w:numId w:val="1002"/>
        </w:numPr>
        <w:pStyle w:val="Compact"/>
      </w:pPr>
      <w:r>
        <w:t xml:space="preserve">Review the risk assessment document specific to this</w:t>
      </w:r>
      <w:r>
        <w:t xml:space="preserve"> </w:t>
      </w:r>
      <w:r>
        <w:rPr>
          <w:bCs/>
          <w:b/>
        </w:rPr>
        <w:t xml:space="preserve">Experiment Protocol</w:t>
      </w:r>
      <w:r>
        <w:t xml:space="preserve">.</w:t>
      </w:r>
    </w:p>
    <w:bookmarkEnd w:id="24"/>
    <w:bookmarkStart w:id="29" w:name="experimental-procedure"/>
    <w:p>
      <w:pPr>
        <w:pStyle w:val="Heading2"/>
      </w:pPr>
      <w:r>
        <w:t xml:space="preserve">5. Experimental Procedure</w:t>
      </w:r>
    </w:p>
    <w:p>
      <w:pPr>
        <w:pStyle w:val="FirstParagraph"/>
      </w:pPr>
      <w:r>
        <w:t xml:space="preserve">The</w:t>
      </w:r>
      <w:r>
        <w:t xml:space="preserve"> </w:t>
      </w:r>
      <w:r>
        <w:rPr>
          <w:bCs/>
          <w:b/>
        </w:rPr>
        <w:t xml:space="preserve">Electrical Engineer</w:t>
      </w:r>
      <w:r>
        <w:t xml:space="preserve"> </w:t>
      </w:r>
      <w:r>
        <w:t xml:space="preserve">shall execute the following steps in the exact order specified:</w:t>
      </w:r>
    </w:p>
    <w:bookmarkStart w:id="25" w:name="initialization"/>
    <w:p>
      <w:pPr>
        <w:pStyle w:val="Heading3"/>
      </w:pPr>
      <w:r>
        <w:t xml:space="preserve">5.1 Initialization</w:t>
      </w:r>
    </w:p>
    <w:p>
      <w:pPr>
        <w:numPr>
          <w:ilvl w:val="0"/>
          <w:numId w:val="1003"/>
        </w:numPr>
        <w:pStyle w:val="Compact"/>
      </w:pPr>
      <w:r>
        <w:t xml:space="preserve">Power on the Real-Time Simulator and load the Zurich grid topology model.</w:t>
      </w:r>
    </w:p>
    <w:p>
      <w:pPr>
        <w:numPr>
          <w:ilvl w:val="0"/>
          <w:numId w:val="1003"/>
        </w:numPr>
        <w:pStyle w:val="Compact"/>
      </w:pPr>
      <w:r>
        <w:t xml:space="preserve">Initialize the Power Converter Units in "Standby" mode.</w:t>
      </w:r>
    </w:p>
    <w:p>
      <w:pPr>
        <w:numPr>
          <w:ilvl w:val="0"/>
          <w:numId w:val="1003"/>
        </w:numPr>
        <w:pStyle w:val="Compact"/>
      </w:pPr>
      <w:r>
        <w:t xml:space="preserve">Connect the Data Acquisition System and verify signal integrity.</w:t>
      </w:r>
    </w:p>
    <w:p>
      <w:pPr>
        <w:numPr>
          <w:ilvl w:val="0"/>
          <w:numId w:val="1003"/>
        </w:numPr>
        <w:pStyle w:val="Compact"/>
      </w:pPr>
      <w:r>
        <w:t xml:space="preserve">Perform a zero-sequence check to ensure no residual voltage exists.</w:t>
      </w:r>
    </w:p>
    <w:bookmarkEnd w:id="25"/>
    <w:bookmarkStart w:id="26" w:name="baseline-measurement"/>
    <w:p>
      <w:pPr>
        <w:pStyle w:val="Heading3"/>
      </w:pPr>
      <w:r>
        <w:t xml:space="preserve">5.2 Baseline Measurement</w:t>
      </w:r>
    </w:p>
    <w:p>
      <w:pPr>
        <w:numPr>
          <w:ilvl w:val="0"/>
          <w:numId w:val="1004"/>
        </w:numPr>
        <w:pStyle w:val="Compact"/>
      </w:pPr>
      <w:r>
        <w:t xml:space="preserve">Gradually ramp up the converter output to 50% of rated power.</w:t>
      </w:r>
    </w:p>
    <w:p>
      <w:pPr>
        <w:numPr>
          <w:ilvl w:val="0"/>
          <w:numId w:val="1004"/>
        </w:numPr>
        <w:pStyle w:val="Compact"/>
      </w:pPr>
      <w:r>
        <w:t xml:space="preserve">Stabilize the system for 5 minutes.</w:t>
      </w:r>
    </w:p>
    <w:p>
      <w:pPr>
        <w:numPr>
          <w:ilvl w:val="0"/>
          <w:numId w:val="1004"/>
        </w:numPr>
        <w:pStyle w:val="Compact"/>
      </w:pPr>
      <w:r>
        <w:t xml:space="preserve">Record voltage, current, frequency, and power factor data.</w:t>
      </w:r>
    </w:p>
    <w:p>
      <w:pPr>
        <w:numPr>
          <w:ilvl w:val="0"/>
          <w:numId w:val="1004"/>
        </w:numPr>
        <w:pStyle w:val="Compact"/>
      </w:pPr>
      <w:r>
        <w:t xml:space="preserve">Verify that harmonic distortion is below 3% as per EN 50160.</w:t>
      </w:r>
    </w:p>
    <w:bookmarkEnd w:id="26"/>
    <w:bookmarkStart w:id="27" w:name="fault-simulation"/>
    <w:p>
      <w:pPr>
        <w:pStyle w:val="Heading3"/>
      </w:pPr>
      <w:r>
        <w:t xml:space="preserve">5.3 Fault Simulation</w:t>
      </w:r>
    </w:p>
    <w:p>
      <w:pPr>
        <w:numPr>
          <w:ilvl w:val="0"/>
          <w:numId w:val="1005"/>
        </w:numPr>
        <w:pStyle w:val="Compact"/>
      </w:pPr>
      <w:r>
        <w:t xml:space="preserve">Inject a simulated three-phase short-circuit fault at the point of common coupling (PCC).</w:t>
      </w:r>
    </w:p>
    <w:p>
      <w:pPr>
        <w:numPr>
          <w:ilvl w:val="0"/>
          <w:numId w:val="1005"/>
        </w:numPr>
        <w:pStyle w:val="Compact"/>
      </w:pPr>
      <w:r>
        <w:t xml:space="preserve">Maintain the fault for 100 milliseconds.</w:t>
      </w:r>
    </w:p>
    <w:p>
      <w:pPr>
        <w:numPr>
          <w:ilvl w:val="0"/>
          <w:numId w:val="1005"/>
        </w:numPr>
        <w:pStyle w:val="Compact"/>
      </w:pPr>
      <w:r>
        <w:t xml:space="preserve">Clear the fault and observe the system recovery.</w:t>
      </w:r>
    </w:p>
    <w:p>
      <w:pPr>
        <w:numPr>
          <w:ilvl w:val="0"/>
          <w:numId w:val="1005"/>
        </w:numPr>
        <w:pStyle w:val="Compact"/>
      </w:pPr>
      <w:r>
        <w:t xml:space="preserve">Repeat the test with single-phase and phase-to-phase faults.</w:t>
      </w:r>
    </w:p>
    <w:bookmarkEnd w:id="27"/>
    <w:bookmarkStart w:id="28" w:name="data-collection"/>
    <w:p>
      <w:pPr>
        <w:pStyle w:val="Heading3"/>
      </w:pPr>
      <w:r>
        <w:t xml:space="preserve">5.4 Data Collection</w:t>
      </w:r>
    </w:p>
    <w:p>
      <w:pPr>
        <w:numPr>
          <w:ilvl w:val="0"/>
          <w:numId w:val="1006"/>
        </w:numPr>
        <w:pStyle w:val="Compact"/>
      </w:pPr>
      <w:r>
        <w:t xml:space="preserve">Ensure all transient data is captured at a sampling rate of 10 kHz.</w:t>
      </w:r>
    </w:p>
    <w:p>
      <w:pPr>
        <w:numPr>
          <w:ilvl w:val="0"/>
          <w:numId w:val="1006"/>
        </w:numPr>
        <w:pStyle w:val="Compact"/>
      </w:pPr>
      <w:r>
        <w:t xml:space="preserve">Tag each data set with a unique identifier corresponding to this</w:t>
      </w:r>
      <w:r>
        <w:t xml:space="preserve"> </w:t>
      </w:r>
      <w:r>
        <w:rPr>
          <w:bCs/>
          <w:b/>
        </w:rPr>
        <w:t xml:space="preserve">Experiment Protocol</w:t>
      </w:r>
      <w:r>
        <w:t xml:space="preserve">.</w:t>
      </w:r>
    </w:p>
    <w:bookmarkEnd w:id="28"/>
    <w:bookmarkEnd w:id="29"/>
    <w:bookmarkStart w:id="30" w:name="data-analysis-and-reporting"/>
    <w:p>
      <w:pPr>
        <w:pStyle w:val="Heading2"/>
      </w:pPr>
      <w:r>
        <w:t xml:space="preserve">6. Data Analysis and Reporting</w:t>
      </w:r>
    </w:p>
    <w:p>
      <w:pPr>
        <w:pStyle w:val="FirstParagraph"/>
      </w:pPr>
      <w:r>
        <w:t xml:space="preserve">Post-experiment, the</w:t>
      </w:r>
      <w:r>
        <w:t xml:space="preserve"> </w:t>
      </w:r>
      <w:r>
        <w:rPr>
          <w:bCs/>
          <w:b/>
        </w:rPr>
        <w:t xml:space="preserve">Electrical Engineer</w:t>
      </w:r>
      <w:r>
        <w:t xml:space="preserve"> </w:t>
      </w:r>
      <w:r>
        <w:t xml:space="preserve">must analyze the collected data to determine:</w:t>
      </w:r>
    </w:p>
    <w:p>
      <w:pPr>
        <w:numPr>
          <w:ilvl w:val="0"/>
          <w:numId w:val="1007"/>
        </w:numPr>
        <w:pStyle w:val="Compact"/>
      </w:pPr>
      <w:r>
        <w:t xml:space="preserve">The rate of change of frequency (RoCoF) during fault conditions.</w:t>
      </w:r>
    </w:p>
    <w:p>
      <w:pPr>
        <w:numPr>
          <w:ilvl w:val="0"/>
          <w:numId w:val="1007"/>
        </w:numPr>
        <w:pStyle w:val="Compact"/>
      </w:pPr>
      <w:r>
        <w:t xml:space="preserve">The effectiveness of the low-voltage ride-through (LVRT) capability.</w:t>
      </w:r>
    </w:p>
    <w:p>
      <w:pPr>
        <w:numPr>
          <w:ilvl w:val="0"/>
          <w:numId w:val="1007"/>
        </w:numPr>
        <w:pStyle w:val="Compact"/>
      </w:pPr>
      <w:r>
        <w:t xml:space="preserve">Any deviations from the expected behavior defined in the Swissgrid Grid Code.</w:t>
      </w:r>
    </w:p>
    <w:p>
      <w:pPr>
        <w:pStyle w:val="FirstParagraph"/>
      </w:pPr>
      <w:r>
        <w:t xml:space="preserve">A comprehensive report must be generated within 14 days, detailing the methodology, results, and recommendations. This report will be submitted to the project stakeholders in Zurich and archived according to institutional policies.</w:t>
      </w:r>
    </w:p>
    <w:bookmarkEnd w:id="30"/>
    <w:bookmarkStart w:id="31" w:name="signatures"/>
    <w:p>
      <w:pPr>
        <w:pStyle w:val="Heading2"/>
      </w:pPr>
      <w:r>
        <w:t xml:space="preserve">7. Signatures</w:t>
      </w:r>
    </w:p>
    <w:p>
      <w:pPr>
        <w:pStyle w:val="FirstParagraph"/>
      </w:pPr>
      <w:r>
        <w:t xml:space="preserve">By signing below, the undersigned confirm that they have read, understood, and will adhere to this</w:t>
      </w:r>
      <w:r>
        <w:t xml:space="preserve"> </w:t>
      </w:r>
      <w:r>
        <w:rPr>
          <w:bCs/>
          <w:b/>
        </w:rPr>
        <w:t xml:space="preserve">Experiment Protocol</w:t>
      </w:r>
      <w:r>
        <w:t xml:space="preserve">.</w:t>
      </w:r>
    </w:p>
    <w:p>
      <w:pPr>
        <w:pStyle w:val="BodyText"/>
      </w:pPr>
      <w:r>
        <w:rPr>
          <w:bCs/>
          <w:b/>
        </w:rPr>
        <w:t xml:space="preserve">Lead Electrical Engineer:</w:t>
      </w:r>
    </w:p>
    <w:p>
      <w:pPr>
        <w:pStyle w:val="BodyText"/>
      </w:pPr>
      <w:r>
        <w:t xml:space="preserve">Dr. Lukas Müller</w:t>
      </w:r>
    </w:p>
    <w:p>
      <w:pPr>
        <w:pStyle w:val="BodyText"/>
      </w:pPr>
      <w:r>
        <w:rPr>
          <w:bCs/>
          <w:b/>
        </w:rPr>
        <w:t xml:space="preserve">Safety Officer:</w:t>
      </w:r>
    </w:p>
    <w:p>
      <w:pPr>
        <w:pStyle w:val="BodyText"/>
      </w:pPr>
      <w:r>
        <w:t xml:space="preserve">Anna Weber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