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Electrical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EE-BHM-2023-001</w:t>
      </w:r>
    </w:p>
    <w:bookmarkEnd w:id="20"/>
    <w:bookmarkStart w:id="21" w:name="introduction"/>
    <w:p>
      <w:pPr>
        <w:pStyle w:val="Heading2"/>
      </w:pPr>
      <w:r>
        <w:t xml:space="preserve">1. Introduction</w:t>
      </w:r>
    </w:p>
    <w:p>
      <w:pPr>
        <w:pStyle w:val="FirstParagraph"/>
      </w:pPr>
      <w:r>
        <w:t xml:space="preserve">This Experiment Protocol has been developed by an Electrical Engineer operating within the United Kingdom Birmingham region. The purpose of this document is to outline the procedures, safety measures, and technical requirements for conducting electrical experiments in compliance with UK standards and local regulations specific to Birmingham. This protocol ensures that all experiments are conducted safely, efficiently, and in accordance with best practices in electrical engineering.</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test the performance of electrical components under controlled conditions.</w:t>
      </w:r>
    </w:p>
    <w:p>
      <w:pPr>
        <w:numPr>
          <w:ilvl w:val="0"/>
          <w:numId w:val="1001"/>
        </w:numPr>
        <w:pStyle w:val="Compact"/>
      </w:pPr>
      <w:r>
        <w:t xml:space="preserve">To verify the accuracy of theoretical calculations against practical results.</w:t>
      </w:r>
    </w:p>
    <w:p>
      <w:pPr>
        <w:numPr>
          <w:ilvl w:val="0"/>
          <w:numId w:val="1001"/>
        </w:numPr>
        <w:pStyle w:val="Compact"/>
      </w:pPr>
      <w:r>
        <w:t xml:space="preserve">To ensure compliance with UK safety standards, including BS 7671 (IET Wiring Regulations).</w:t>
      </w:r>
    </w:p>
    <w:p>
      <w:pPr>
        <w:numPr>
          <w:ilvl w:val="0"/>
          <w:numId w:val="1001"/>
        </w:numPr>
        <w:pStyle w:val="Compact"/>
      </w:pPr>
      <w:r>
        <w:t xml:space="preserve">To document findings for future reference and potential publication.</w:t>
      </w:r>
    </w:p>
    <w:bookmarkEnd w:id="22"/>
    <w:bookmarkStart w:id="23" w:name="scope"/>
    <w:p>
      <w:pPr>
        <w:pStyle w:val="Heading2"/>
      </w:pPr>
      <w:r>
        <w:t xml:space="preserve">3. Scope</w:t>
      </w:r>
    </w:p>
    <w:p>
      <w:pPr>
        <w:pStyle w:val="FirstParagraph"/>
      </w:pPr>
      <w:r>
        <w:t xml:space="preserve">This protocol applies to all electrical experiments conducted by the Electrical Engineer in laboratories, workshops, or field sites located in Birmingham, United Kingdom. It covers the setup, execution, monitoring, and teardown of experiments involving electrical circuits, power systems, and electronic devices.</w:t>
      </w:r>
    </w:p>
    <w:bookmarkEnd w:id="23"/>
    <w:bookmarkStart w:id="24" w:name="safety-measures"/>
    <w:p>
      <w:pPr>
        <w:pStyle w:val="Heading2"/>
      </w:pPr>
      <w:r>
        <w:t xml:space="preserve">4. Safety Measures</w:t>
      </w:r>
    </w:p>
    <w:p>
      <w:pPr>
        <w:pStyle w:val="FirstParagraph"/>
      </w:pPr>
      <w:r>
        <w:t xml:space="preserve">Safety is paramount in all electrical experiments. The following measures must be strictly adhered to:</w:t>
      </w:r>
    </w:p>
    <w:p>
      <w:pPr>
        <w:numPr>
          <w:ilvl w:val="0"/>
          <w:numId w:val="1002"/>
        </w:numPr>
        <w:pStyle w:val="Compact"/>
      </w:pPr>
      <w:r>
        <w:rPr>
          <w:bCs/>
          <w:b/>
        </w:rPr>
        <w:t xml:space="preserve">Personal Protective Equipment (PPE):</w:t>
      </w:r>
      <w:r>
        <w:t xml:space="preserve"> </w:t>
      </w:r>
      <w:r>
        <w:t xml:space="preserve">All personnel must wear appropriate PPE, including insulated gloves, safety glasses, and non-conductive footwear.</w:t>
      </w:r>
    </w:p>
    <w:p>
      <w:pPr>
        <w:numPr>
          <w:ilvl w:val="0"/>
          <w:numId w:val="1002"/>
        </w:numPr>
        <w:pStyle w:val="Compact"/>
      </w:pPr>
      <w:r>
        <w:rPr>
          <w:bCs/>
          <w:b/>
        </w:rPr>
        <w:t xml:space="preserve">Lockout/Tagout Procedures:</w:t>
      </w:r>
      <w:r>
        <w:t xml:space="preserve"> </w:t>
      </w:r>
      <w:r>
        <w:t xml:space="preserve">Ensure all power sources are isolated and locked out before beginning any work.</w:t>
      </w:r>
    </w:p>
    <w:p>
      <w:pPr>
        <w:numPr>
          <w:ilvl w:val="0"/>
          <w:numId w:val="1002"/>
        </w:numPr>
        <w:pStyle w:val="Compact"/>
      </w:pPr>
      <w:r>
        <w:rPr>
          <w:bCs/>
          <w:b/>
        </w:rPr>
        <w:t xml:space="preserve">Emergency Procedures:</w:t>
      </w:r>
      <w:r>
        <w:t xml:space="preserve"> </w:t>
      </w:r>
      <w:r>
        <w:t xml:space="preserve">Familiarize all team members with emergency shutdown procedures and first aid protocols.</w:t>
      </w:r>
    </w:p>
    <w:p>
      <w:pPr>
        <w:numPr>
          <w:ilvl w:val="0"/>
          <w:numId w:val="1002"/>
        </w:numPr>
        <w:pStyle w:val="Compact"/>
      </w:pPr>
      <w:r>
        <w:rPr>
          <w:bCs/>
          <w:b/>
        </w:rPr>
        <w:t xml:space="preserve">Compliance with UK Regulations:</w:t>
      </w:r>
      <w:r>
        <w:t xml:space="preserve"> </w:t>
      </w:r>
      <w:r>
        <w:t xml:space="preserve">Adhere to the Health and Safety at Work etc. Act 1974 and other relevant UK legislation.</w:t>
      </w:r>
    </w:p>
    <w:p>
      <w:pPr>
        <w:numPr>
          <w:ilvl w:val="0"/>
          <w:numId w:val="1002"/>
        </w:numPr>
        <w:pStyle w:val="Compact"/>
      </w:pPr>
      <w:r>
        <w:rPr>
          <w:bCs/>
          <w:b/>
        </w:rPr>
        <w:t xml:space="preserve">Local Birmingham Guidelines:</w:t>
      </w:r>
      <w:r>
        <w:t xml:space="preserve"> </w:t>
      </w:r>
      <w:r>
        <w:t xml:space="preserve">Follow any additional safety guidelines issued by local authorities or institutions in Birmingham.</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Power Supply Unit</w:t>
            </w:r>
          </w:p>
        </w:tc>
        <w:tc>
          <w:tcPr/>
          <w:p>
            <w:pPr>
              <w:pStyle w:val="Compact"/>
              <w:jc w:val="left"/>
            </w:pPr>
            <w:r>
              <w:t xml:space="preserve">1</w:t>
            </w:r>
          </w:p>
        </w:tc>
        <w:tc>
          <w:tcPr/>
          <w:p>
            <w:pPr>
              <w:pStyle w:val="Compact"/>
              <w:jc w:val="left"/>
            </w:pPr>
            <w:r>
              <w:t xml:space="preserve">Adjustable DC/AC, 0-30V, 0-10A</w:t>
            </w:r>
          </w:p>
        </w:tc>
      </w:tr>
      <w:tr>
        <w:tc>
          <w:tcPr/>
          <w:p>
            <w:pPr>
              <w:pStyle w:val="Compact"/>
              <w:jc w:val="left"/>
            </w:pPr>
            <w:r>
              <w:t xml:space="preserve">Multimeter</w:t>
            </w:r>
          </w:p>
        </w:tc>
        <w:tc>
          <w:tcPr/>
          <w:p>
            <w:pPr>
              <w:pStyle w:val="Compact"/>
              <w:jc w:val="left"/>
            </w:pPr>
            <w:r>
              <w:t xml:space="preserve">2</w:t>
            </w:r>
          </w:p>
        </w:tc>
        <w:tc>
          <w:tcPr/>
          <w:p>
            <w:pPr>
              <w:pStyle w:val="Compact"/>
              <w:jc w:val="left"/>
            </w:pPr>
            <w:r>
              <w:t xml:space="preserve">Digital, CAT III 600V</w:t>
            </w:r>
          </w:p>
        </w:tc>
      </w:tr>
      <w:tr>
        <w:tc>
          <w:tcPr/>
          <w:p>
            <w:pPr>
              <w:pStyle w:val="Compact"/>
              <w:jc w:val="left"/>
            </w:pPr>
            <w:r>
              <w:t xml:space="preserve">Oscilloscope</w:t>
            </w:r>
          </w:p>
        </w:tc>
        <w:tc>
          <w:tcPr/>
          <w:p>
            <w:pPr>
              <w:pStyle w:val="Compact"/>
              <w:jc w:val="left"/>
            </w:pPr>
            <w:r>
              <w:t xml:space="preserve">1</w:t>
            </w:r>
          </w:p>
        </w:tc>
        <w:tc>
          <w:tcPr/>
          <w:p>
            <w:pPr>
              <w:pStyle w:val="Compact"/>
              <w:jc w:val="left"/>
            </w:pPr>
            <w:r>
              <w:t xml:space="preserve">Bandwidth: 100MHz</w:t>
            </w:r>
          </w:p>
        </w:tc>
      </w:tr>
      <w:tr>
        <w:tc>
          <w:tcPr/>
          <w:p>
            <w:pPr>
              <w:pStyle w:val="Compact"/>
              <w:jc w:val="left"/>
            </w:pPr>
            <w:r>
              <w:t xml:space="preserve">Resistors</w:t>
            </w:r>
          </w:p>
        </w:tc>
        <w:tc>
          <w:tcPr/>
          <w:p>
            <w:pPr>
              <w:pStyle w:val="Compact"/>
              <w:jc w:val="left"/>
            </w:pPr>
            <w:r>
              <w:t xml:space="preserve">Assorted</w:t>
            </w:r>
          </w:p>
        </w:tc>
        <w:tc>
          <w:tcPr/>
          <w:p>
            <w:pPr>
              <w:pStyle w:val="Compact"/>
              <w:jc w:val="left"/>
            </w:pPr>
            <w:r>
              <w:t xml:space="preserve">1Ω to 1MΩ, 5% tolerance</w:t>
            </w:r>
          </w:p>
        </w:tc>
      </w:tr>
      <w:tr>
        <w:tc>
          <w:tcPr/>
          <w:p>
            <w:pPr>
              <w:pStyle w:val="Compact"/>
              <w:jc w:val="left"/>
            </w:pPr>
            <w:r>
              <w:t xml:space="preserve">Capacitors</w:t>
            </w:r>
          </w:p>
        </w:tc>
        <w:tc>
          <w:tcPr/>
          <w:p>
            <w:pPr>
              <w:pStyle w:val="Compact"/>
              <w:jc w:val="left"/>
            </w:pPr>
            <w:r>
              <w:t xml:space="preserve">Assorted</w:t>
            </w:r>
          </w:p>
        </w:tc>
        <w:tc>
          <w:tcPr/>
          <w:p>
            <w:pPr>
              <w:pStyle w:val="Compact"/>
              <w:jc w:val="left"/>
            </w:pPr>
            <w:r>
              <w:t xml:space="preserve">1µF to 1000µF</w:t>
            </w:r>
          </w:p>
        </w:tc>
      </w:tr>
      <w:tr>
        <w:tc>
          <w:tcPr/>
          <w:p>
            <w:pPr>
              <w:pStyle w:val="Compact"/>
              <w:jc w:val="left"/>
            </w:pPr>
            <w:r>
              <w:t xml:space="preserve">Inductors</w:t>
            </w:r>
          </w:p>
        </w:tc>
        <w:tc>
          <w:tcPr/>
          <w:p>
            <w:pPr>
              <w:pStyle w:val="Compact"/>
              <w:jc w:val="left"/>
            </w:pPr>
            <w:r>
              <w:t xml:space="preserve">Assorted</w:t>
            </w:r>
          </w:p>
        </w:tc>
        <w:tc>
          <w:tcPr/>
          <w:p>
            <w:pPr>
              <w:pStyle w:val="Compact"/>
              <w:jc w:val="left"/>
            </w:pPr>
            <w:r>
              <w:t xml:space="preserve">1mH to 100mH</w:t>
            </w:r>
          </w:p>
        </w:tc>
      </w:tr>
      <w:tr>
        <w:tc>
          <w:tcPr/>
          <w:p>
            <w:pPr>
              <w:pStyle w:val="Compact"/>
              <w:jc w:val="left"/>
            </w:pPr>
            <w:r>
              <w:t xml:space="preserve">Breadboard</w:t>
            </w:r>
          </w:p>
        </w:tc>
        <w:tc>
          <w:tcPr/>
          <w:p>
            <w:pPr>
              <w:pStyle w:val="Compact"/>
              <w:jc w:val="left"/>
            </w:pPr>
            <w:r>
              <w:t xml:space="preserve">1</w:t>
            </w:r>
          </w:p>
        </w:tc>
        <w:tc>
          <w:tcPr/>
          <w:p>
            <w:pPr>
              <w:pStyle w:val="Compact"/>
              <w:jc w:val="left"/>
            </w:pPr>
            <w:r>
              <w:t xml:space="preserve">Standard size</w:t>
            </w:r>
          </w:p>
        </w:tc>
      </w:tr>
      <w:tr>
        <w:tc>
          <w:tcPr/>
          <w:p>
            <w:pPr>
              <w:pStyle w:val="Compact"/>
              <w:jc w:val="left"/>
            </w:pPr>
            <w:r>
              <w:t xml:space="preserve">Connecting Wires</w:t>
            </w:r>
          </w:p>
        </w:tc>
        <w:tc>
          <w:tcPr/>
          <w:p>
            <w:pPr>
              <w:pStyle w:val="Compact"/>
              <w:jc w:val="left"/>
            </w:pPr>
            <w:r>
              <w:t xml:space="preserve">Assorted</w:t>
            </w:r>
          </w:p>
        </w:tc>
        <w:tc>
          <w:tcPr/>
          <w:p>
            <w:pPr>
              <w:pStyle w:val="Compact"/>
              <w:jc w:val="left"/>
            </w:pPr>
            <w:r>
              <w:t xml:space="preserve">Insulated, various lengths</w:t>
            </w:r>
          </w:p>
        </w:tc>
      </w:tr>
    </w:tbl>
    <w:bookmarkEnd w:id="25"/>
    <w:bookmarkStart w:id="26" w:name="experimental-procedure"/>
    <w:p>
      <w:pPr>
        <w:pStyle w:val="Heading2"/>
      </w:pPr>
      <w:r>
        <w:t xml:space="preserve">6. Experimental Procedure</w:t>
      </w:r>
    </w:p>
    <w:p>
      <w:pPr>
        <w:pStyle w:val="FirstParagraph"/>
      </w:pPr>
      <w:r>
        <w:t xml:space="preserve">The experiment will be conducted in the following steps:</w:t>
      </w:r>
    </w:p>
    <w:p>
      <w:pPr>
        <w:numPr>
          <w:ilvl w:val="0"/>
          <w:numId w:val="1003"/>
        </w:numPr>
        <w:pStyle w:val="Compact"/>
      </w:pPr>
      <w:r>
        <w:rPr>
          <w:bCs/>
          <w:b/>
        </w:rPr>
        <w:t xml:space="preserve">Preparation:</w:t>
      </w:r>
      <w:r>
        <w:t xml:space="preserve"> </w:t>
      </w:r>
      <w:r>
        <w:t xml:space="preserve">Set up the workspace in a designated area within the Birmingham facility. Ensure all equipment is calibrated and functioning correctly.</w:t>
      </w:r>
    </w:p>
    <w:p>
      <w:pPr>
        <w:numPr>
          <w:ilvl w:val="0"/>
          <w:numId w:val="1003"/>
        </w:numPr>
        <w:pStyle w:val="Compact"/>
      </w:pPr>
      <w:r>
        <w:rPr>
          <w:bCs/>
          <w:b/>
        </w:rPr>
        <w:t xml:space="preserve">Circuit Assembly:</w:t>
      </w:r>
      <w:r>
        <w:t xml:space="preserve"> </w:t>
      </w:r>
      <w:r>
        <w:t xml:space="preserve">Construct the circuit on the breadboard according to the schematic diagram provided by the Electrical Engineer.</w:t>
      </w:r>
    </w:p>
    <w:p>
      <w:pPr>
        <w:numPr>
          <w:ilvl w:val="0"/>
          <w:numId w:val="1003"/>
        </w:numPr>
        <w:pStyle w:val="Compact"/>
      </w:pPr>
      <w:r>
        <w:rPr>
          <w:bCs/>
          <w:b/>
        </w:rPr>
        <w:t xml:space="preserve">Initial Checks:</w:t>
      </w:r>
      <w:r>
        <w:t xml:space="preserve"> </w:t>
      </w:r>
      <w:r>
        <w:t xml:space="preserve">Perform visual inspections and continuity tests to ensure there are no short circuits or loose connections.</w:t>
      </w:r>
    </w:p>
    <w:p>
      <w:pPr>
        <w:numPr>
          <w:ilvl w:val="0"/>
          <w:numId w:val="1003"/>
        </w:numPr>
        <w:pStyle w:val="Compact"/>
      </w:pPr>
      <w:r>
        <w:rPr>
          <w:bCs/>
          <w:b/>
        </w:rPr>
        <w:t xml:space="preserve">Power Application:</w:t>
      </w:r>
      <w:r>
        <w:t xml:space="preserve"> </w:t>
      </w:r>
      <w:r>
        <w:t xml:space="preserve">Gradually apply power to the circuit while monitoring voltage and current levels using the multimeter and oscilloscope.</w:t>
      </w:r>
    </w:p>
    <w:p>
      <w:pPr>
        <w:numPr>
          <w:ilvl w:val="0"/>
          <w:numId w:val="1003"/>
        </w:numPr>
        <w:pStyle w:val="Compact"/>
      </w:pPr>
      <w:r>
        <w:rPr>
          <w:bCs/>
          <w:b/>
        </w:rPr>
        <w:t xml:space="preserve">Data Collection:</w:t>
      </w:r>
      <w:r>
        <w:t xml:space="preserve"> </w:t>
      </w:r>
      <w:r>
        <w:t xml:space="preserve">Record all measurements at specified intervals. Note any anomalies or deviations from expected values.</w:t>
      </w:r>
    </w:p>
    <w:p>
      <w:pPr>
        <w:numPr>
          <w:ilvl w:val="0"/>
          <w:numId w:val="1003"/>
        </w:numPr>
        <w:pStyle w:val="Compact"/>
      </w:pPr>
      <w:r>
        <w:rPr>
          <w:bCs/>
          <w:b/>
        </w:rPr>
        <w:t xml:space="preserve">Analysis:</w:t>
      </w:r>
      <w:r>
        <w:t xml:space="preserve"> </w:t>
      </w:r>
      <w:r>
        <w:t xml:space="preserve">Compare the collected data with theoretical predictions. Identify any discrepancies and investigate their causes.</w:t>
      </w:r>
    </w:p>
    <w:p>
      <w:pPr>
        <w:numPr>
          <w:ilvl w:val="0"/>
          <w:numId w:val="1003"/>
        </w:numPr>
        <w:pStyle w:val="Compact"/>
      </w:pPr>
      <w:r>
        <w:rPr>
          <w:bCs/>
          <w:b/>
        </w:rPr>
        <w:t xml:space="preserve">Teardown:</w:t>
      </w:r>
      <w:r>
        <w:t xml:space="preserve"> </w:t>
      </w:r>
      <w:r>
        <w:t xml:space="preserve">Safely disconnect the power and dismantle the circuit. Store all equipment and materials properly.</w:t>
      </w:r>
    </w:p>
    <w:bookmarkEnd w:id="26"/>
    <w:bookmarkStart w:id="27" w:name="data-recording-and-reporting"/>
    <w:p>
      <w:pPr>
        <w:pStyle w:val="Heading2"/>
      </w:pPr>
      <w:r>
        <w:t xml:space="preserve">7. Data Recording and Reporting</w:t>
      </w:r>
    </w:p>
    <w:p>
      <w:pPr>
        <w:pStyle w:val="FirstParagraph"/>
      </w:pPr>
      <w:r>
        <w:t xml:space="preserve">All data collected during the experiment must be recorded accurately and systematically. The Electrical Engineer is responsible for compiling a comprehensive report that includes:</w:t>
      </w:r>
    </w:p>
    <w:p>
      <w:pPr>
        <w:numPr>
          <w:ilvl w:val="0"/>
          <w:numId w:val="1004"/>
        </w:numPr>
        <w:pStyle w:val="Compact"/>
      </w:pPr>
      <w:r>
        <w:t xml:space="preserve">Objective and scope of the experiment.</w:t>
      </w:r>
    </w:p>
    <w:p>
      <w:pPr>
        <w:numPr>
          <w:ilvl w:val="0"/>
          <w:numId w:val="1004"/>
        </w:numPr>
        <w:pStyle w:val="Compact"/>
      </w:pPr>
      <w:r>
        <w:t xml:space="preserve">Methodology and procedures followed.</w:t>
      </w:r>
    </w:p>
    <w:p>
      <w:pPr>
        <w:numPr>
          <w:ilvl w:val="0"/>
          <w:numId w:val="1004"/>
        </w:numPr>
        <w:pStyle w:val="Compact"/>
      </w:pPr>
      <w:r>
        <w:t xml:space="preserve">Raw data and observations.</w:t>
      </w:r>
    </w:p>
    <w:p>
      <w:pPr>
        <w:numPr>
          <w:ilvl w:val="0"/>
          <w:numId w:val="1004"/>
        </w:numPr>
        <w:pStyle w:val="Compact"/>
      </w:pPr>
      <w:r>
        <w:t xml:space="preserve">Analysis and interpretation of results.</w:t>
      </w:r>
    </w:p>
    <w:p>
      <w:pPr>
        <w:numPr>
          <w:ilvl w:val="0"/>
          <w:numId w:val="1004"/>
        </w:numPr>
        <w:pStyle w:val="Compact"/>
      </w:pPr>
      <w:r>
        <w:t xml:space="preserve">Conclusions and recommendations.</w:t>
      </w:r>
    </w:p>
    <w:p>
      <w:pPr>
        <w:numPr>
          <w:ilvl w:val="0"/>
          <w:numId w:val="1004"/>
        </w:numPr>
        <w:pStyle w:val="Compact"/>
      </w:pPr>
      <w:r>
        <w:t xml:space="preserve">Any deviations from the protocol and their justification.</w:t>
      </w:r>
    </w:p>
    <w:p>
      <w:pPr>
        <w:pStyle w:val="FirstParagraph"/>
      </w:pPr>
      <w:r>
        <w:t xml:space="preserve">The report should be formatted according to the standards set by the Institution of Engineering and Technology (IET) and submitted to the relevant stakeholders in Birmingham.</w:t>
      </w:r>
    </w:p>
    <w:bookmarkEnd w:id="27"/>
    <w:bookmarkStart w:id="28" w:name="risk-assessment"/>
    <w:p>
      <w:pPr>
        <w:pStyle w:val="Heading2"/>
      </w:pPr>
      <w:r>
        <w:t xml:space="preserve">8. Risk Assessment</w:t>
      </w:r>
    </w:p>
    <w:p>
      <w:pPr>
        <w:pStyle w:val="FirstParagraph"/>
      </w:pPr>
      <w:r>
        <w:t xml:space="preserve">A thorough risk assessment has been conducted to identify potential hazards associated with the experiment. The following risks have been identified and mitigated: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w:t>
            </w:r>
          </w:p>
        </w:tc>
      </w:tr>
      <w:tr>
        <w:tc>
          <w:tcPr/>
          <w:p>
            <w:pPr>
              <w:pStyle w:val="Compact"/>
              <w:jc w:val="left"/>
            </w:pPr>
            <w:r>
              <w:t xml:space="preserve">Electric shock</w:t>
            </w:r>
          </w:p>
        </w:tc>
        <w:tc>
          <w:tcPr/>
          <w:p>
            <w:pPr>
              <w:pStyle w:val="Compact"/>
              <w:jc w:val="left"/>
            </w:pPr>
            <w:r>
              <w:t xml:space="preserve">Use of insulated tools and PPE; lockout/tagout procedures.</w:t>
            </w:r>
          </w:p>
        </w:tc>
      </w:tr>
      <w:tr>
        <w:tc>
          <w:tcPr/>
          <w:p>
            <w:pPr>
              <w:pStyle w:val="Compact"/>
              <w:jc w:val="left"/>
            </w:pPr>
            <w:r>
              <w:t xml:space="preserve">Fire hazard</w:t>
            </w:r>
          </w:p>
        </w:tc>
        <w:tc>
          <w:tcPr/>
          <w:p>
            <w:pPr>
              <w:pStyle w:val="Compact"/>
              <w:jc w:val="left"/>
            </w:pPr>
            <w:r>
              <w:t xml:space="preserve">Proper ventilation; fire extinguishers readily available.</w:t>
            </w:r>
          </w:p>
        </w:tc>
      </w:tr>
      <w:tr>
        <w:tc>
          <w:tcPr/>
          <w:p>
            <w:pPr>
              <w:pStyle w:val="Compact"/>
              <w:jc w:val="left"/>
            </w:pPr>
            <w:r>
              <w:t xml:space="preserve">Equipment failure</w:t>
            </w:r>
          </w:p>
        </w:tc>
        <w:tc>
          <w:tcPr/>
          <w:p>
            <w:pPr>
              <w:pStyle w:val="Compact"/>
              <w:jc w:val="left"/>
            </w:pPr>
            <w:r>
              <w:t xml:space="preserve">Regular maintenance and calibration of equipment.</w:t>
            </w:r>
          </w:p>
        </w:tc>
      </w:tr>
      <w:tr>
        <w:tc>
          <w:tcPr/>
          <w:p>
            <w:pPr>
              <w:pStyle w:val="Compact"/>
              <w:jc w:val="left"/>
            </w:pPr>
            <w:r>
              <w:t xml:space="preserve">Data loss</w:t>
            </w:r>
          </w:p>
        </w:tc>
        <w:tc>
          <w:tcPr/>
          <w:p>
            <w:pPr>
              <w:pStyle w:val="Compact"/>
              <w:jc w:val="left"/>
            </w:pPr>
            <w:r>
              <w:t xml:space="preserve">Backup of all data in real-time.</w:t>
            </w:r>
          </w:p>
        </w:tc>
      </w:tr>
    </w:tbl>
    <w:bookmarkEnd w:id="28"/>
    <w:bookmarkStart w:id="29" w:name="conclusion"/>
    <w:p>
      <w:pPr>
        <w:pStyle w:val="Heading2"/>
      </w:pPr>
      <w:r>
        <w:t xml:space="preserve">9. Conclusion</w:t>
      </w:r>
    </w:p>
    <w:p>
      <w:pPr>
        <w:pStyle w:val="FirstParagraph"/>
      </w:pPr>
      <w:r>
        <w:t xml:space="preserve">This Experiment Protocol provides a structured approach for conducting electrical experiments in Birmingham, United Kingdom. By adhering to this protocol, the Electrical Engineer ensures that all experiments are performed safely, accurately, and in compliance with UK standards. Continuous review and improvement of this protocol will help maintain high standards of practice in the field of electrical engineering.</w:t>
      </w:r>
    </w:p>
    <w:bookmarkEnd w:id="29"/>
    <w:p>
      <w:pPr>
        <w:pStyle w:val="BodyText"/>
      </w:pPr>
      <w:r>
        <w:rPr>
          <w:bCs/>
          <w:b/>
        </w:rPr>
        <w:t xml:space="preserve">Prepared by:</w:t>
      </w:r>
    </w:p>
    <w:p>
      <w:pPr>
        <w:pStyle w:val="BodyText"/>
      </w:pPr>
      <w:r>
        <w:t xml:space="preserve">[Name of Electrical Engineer]</w:t>
      </w:r>
    </w:p>
    <w:p>
      <w:pPr>
        <w:pStyle w:val="BodyText"/>
      </w:pPr>
      <w:r>
        <w:t xml:space="preserve">[Title/Position]</w:t>
      </w:r>
    </w:p>
    <w:p>
      <w:pPr>
        <w:pStyle w:val="BodyText"/>
      </w:pPr>
      <w:r>
        <w:t xml:space="preserve">[Contact Information]</w:t>
      </w:r>
    </w:p>
    <w:p>
      <w:pPr>
        <w:pStyle w:val="BodyText"/>
      </w:pPr>
      <w:r>
        <w:rPr>
          <w:bCs/>
          <w:b/>
        </w:rPr>
        <w:t xml:space="preserve">Approved by:</w:t>
      </w:r>
    </w:p>
    <w:p>
      <w:pPr>
        <w:pStyle w:val="BodyText"/>
      </w:pPr>
      <w:r>
        <w:t xml:space="preserve">[Name of Supervisor/Manager]</w:t>
      </w:r>
    </w:p>
    <w:p>
      <w:pPr>
        <w:pStyle w:val="BodyText"/>
      </w:pPr>
      <w:r>
        <w:t xml:space="preserve">[Title/Position]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United Kingdom Birmingham</dc:title>
  <dc:creator/>
  <dc:language>en</dc:language>
  <cp:keywords/>
  <dcterms:created xsi:type="dcterms:W3CDTF">2026-10-10T02:39:24Z</dcterms:created>
  <dcterms:modified xsi:type="dcterms:W3CDTF">2026-10-10T02:39:24Z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