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Substation</w:t>
      </w:r>
      <w:r>
        <w:t xml:space="preserve"> </w:t>
      </w:r>
      <w:r>
        <w:t xml:space="preserve">Load</w:t>
      </w:r>
      <w:r>
        <w:t xml:space="preserve"> </w:t>
      </w:r>
      <w:r>
        <w:t xml:space="preserve">Testing</w:t>
      </w:r>
    </w:p>
    <w:bookmarkStart w:id="20" w:name="X8528a413a5a89cce45d010c4b9fdebd5efadb51"/>
    <w:p>
      <w:pPr>
        <w:pStyle w:val="Heading1"/>
      </w:pPr>
      <w:r>
        <w:t xml:space="preserve">Experiment Protocol: High-Voltage Substation Load Testing</w:t>
      </w:r>
    </w:p>
    <w:p>
      <w:pPr>
        <w:pStyle w:val="FirstParagraph"/>
      </w:pPr>
      <w:r>
        <w:rPr>
          <w:bCs/>
          <w:b/>
        </w:rPr>
        <w:t xml:space="preserve">Location:</w:t>
      </w:r>
      <w:r>
        <w:t xml:space="preserve"> </w:t>
      </w:r>
      <w:r>
        <w:t xml:space="preserve">Houston, Texas, United States</w:t>
      </w:r>
    </w:p>
    <w:p>
      <w:pPr>
        <w:pStyle w:val="BodyText"/>
      </w:pPr>
      <w:r>
        <w:rPr>
          <w:bCs/>
          <w:b/>
        </w:rPr>
        <w:t xml:space="preserve">Prepared By:</w:t>
      </w:r>
      <w:r>
        <w:t xml:space="preserve"> </w:t>
      </w:r>
      <w:r>
        <w:t xml:space="preserve">Senior Electrical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EE-HOU-2023-045</w:t>
      </w:r>
    </w:p>
    <w:bookmarkEnd w:id="20"/>
    <w:bookmarkStart w:id="21" w:name="objective"/>
    <w:p>
      <w:pPr>
        <w:pStyle w:val="Heading2"/>
      </w:pPr>
      <w:r>
        <w:t xml:space="preserve">1. Objective</w:t>
      </w:r>
    </w:p>
    <w:p>
      <w:pPr>
        <w:pStyle w:val="FirstParagraph"/>
      </w:pPr>
      <w:r>
        <w:t xml:space="preserve">The primary objective of this experiment protocol is to evaluate the performance and reliability of newly installed high-voltage transformers at the Houston Energy Distribution Center. This testing is crucial to ensure compliance with the National Electrical Safety Code (NESC) and local regulations specific to the United States. The Electrical Engineer will oversee the load testing to verify that the transformers can handle peak demand conditions typical of Houston's industrial and residential sectors.</w:t>
      </w:r>
    </w:p>
    <w:bookmarkEnd w:id="21"/>
    <w:bookmarkStart w:id="22" w:name="scope"/>
    <w:p>
      <w:pPr>
        <w:pStyle w:val="Heading2"/>
      </w:pPr>
      <w:r>
        <w:t xml:space="preserve">2. Scope</w:t>
      </w:r>
    </w:p>
    <w:p>
      <w:pPr>
        <w:pStyle w:val="FirstParagraph"/>
      </w:pPr>
      <w:r>
        <w:t xml:space="preserve">This protocol covers the following aspects:</w:t>
      </w:r>
    </w:p>
    <w:p>
      <w:pPr>
        <w:numPr>
          <w:ilvl w:val="0"/>
          <w:numId w:val="1001"/>
        </w:numPr>
        <w:pStyle w:val="Compact"/>
      </w:pPr>
      <w:r>
        <w:t xml:space="preserve">Pre-test inspections and safety checks.</w:t>
      </w:r>
    </w:p>
    <w:p>
      <w:pPr>
        <w:numPr>
          <w:ilvl w:val="0"/>
          <w:numId w:val="1001"/>
        </w:numPr>
        <w:pStyle w:val="Compact"/>
      </w:pPr>
      <w:r>
        <w:t xml:space="preserve">Load testing procedures for 138 kV transformers.</w:t>
      </w:r>
    </w:p>
    <w:p>
      <w:pPr>
        <w:numPr>
          <w:ilvl w:val="0"/>
          <w:numId w:val="1001"/>
        </w:numPr>
        <w:pStyle w:val="Compact"/>
      </w:pPr>
      <w:r>
        <w:t xml:space="preserve">Data collection and analysis.</w:t>
      </w:r>
    </w:p>
    <w:p>
      <w:pPr>
        <w:numPr>
          <w:ilvl w:val="0"/>
          <w:numId w:val="1001"/>
        </w:numPr>
        <w:pStyle w:val="Compact"/>
      </w:pPr>
      <w:r>
        <w:t xml:space="preserve">Post-test evaluation and reporting.</w:t>
      </w:r>
    </w:p>
    <w:p>
      <w:pPr>
        <w:pStyle w:val="FirstParagraph"/>
      </w:pPr>
      <w:r>
        <w:t xml:space="preserve">All activities will be conducted in accordance with the standards set by the Institute of Electrical and Electronics Engineers (IEEE) and the Occupational Safety and Health Administration (OSHA).</w:t>
      </w:r>
    </w:p>
    <w:bookmarkEnd w:id="22"/>
    <w:bookmarkStart w:id="23" w:name="safety-precautions"/>
    <w:p>
      <w:pPr>
        <w:pStyle w:val="Heading2"/>
      </w:pPr>
      <w:r>
        <w:t xml:space="preserve">3. Safety Precautions</w:t>
      </w:r>
    </w:p>
    <w:p>
      <w:pPr>
        <w:pStyle w:val="FirstParagraph"/>
      </w:pPr>
      <w:r>
        <w:rPr>
          <w:bCs/>
          <w:b/>
        </w:rPr>
        <w:t xml:space="preserve">WARNING:</w:t>
      </w:r>
      <w:r>
        <w:t xml:space="preserve"> </w:t>
      </w:r>
      <w:r>
        <w:t xml:space="preserve">High-voltage equipment poses significant risks. All personnel must adhere to strict safety protocols.</w:t>
      </w:r>
    </w:p>
    <w:p>
      <w:pPr>
        <w:numPr>
          <w:ilvl w:val="0"/>
          <w:numId w:val="1002"/>
        </w:numPr>
        <w:pStyle w:val="Compact"/>
      </w:pPr>
      <w:r>
        <w:t xml:space="preserve">Only certified Electrical Engineers and technicians are permitted in the testing area.</w:t>
      </w:r>
    </w:p>
    <w:p>
      <w:pPr>
        <w:numPr>
          <w:ilvl w:val="0"/>
          <w:numId w:val="1002"/>
        </w:numPr>
        <w:pStyle w:val="Compact"/>
      </w:pPr>
      <w:r>
        <w:t xml:space="preserve">Personal Protective Equipment (PPE) including arc-flash suits, insulated gloves, and safety glasses must be worn at all times.</w:t>
      </w:r>
    </w:p>
    <w:p>
      <w:pPr>
        <w:numPr>
          <w:ilvl w:val="0"/>
          <w:numId w:val="1002"/>
        </w:numPr>
        <w:pStyle w:val="Compact"/>
      </w:pPr>
      <w:r>
        <w:t xml:space="preserve">Lockout/Tagout (LOTO) procedures must be implemented before any physical interaction with the equipment.</w:t>
      </w:r>
    </w:p>
    <w:p>
      <w:pPr>
        <w:numPr>
          <w:ilvl w:val="0"/>
          <w:numId w:val="1002"/>
        </w:numPr>
        <w:pStyle w:val="Compact"/>
      </w:pPr>
      <w:r>
        <w:t xml:space="preserve">Emergency shutdown procedures must be reviewed and understood by all team members.</w:t>
      </w:r>
    </w:p>
    <w:p>
      <w:pPr>
        <w:numPr>
          <w:ilvl w:val="0"/>
          <w:numId w:val="1002"/>
        </w:numPr>
        <w:pStyle w:val="Compact"/>
      </w:pPr>
      <w:r>
        <w:t xml:space="preserve">Given Houston's climate, additional precautions for heat stress and potential lightning storms must be considered.</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High-Voltage Transformers</w:t>
            </w:r>
          </w:p>
        </w:tc>
        <w:tc>
          <w:tcPr/>
          <w:p>
            <w:pPr>
              <w:pStyle w:val="Compact"/>
              <w:jc w:val="left"/>
            </w:pPr>
            <w:r>
              <w:t xml:space="preserve">2</w:t>
            </w:r>
          </w:p>
        </w:tc>
        <w:tc>
          <w:tcPr/>
          <w:p>
            <w:pPr>
              <w:pStyle w:val="Compact"/>
              <w:jc w:val="left"/>
            </w:pPr>
            <w:r>
              <w:t xml:space="preserve">138 kV, 50 MVA</w:t>
            </w:r>
          </w:p>
        </w:tc>
      </w:tr>
      <w:tr>
        <w:tc>
          <w:tcPr/>
          <w:p>
            <w:pPr>
              <w:pStyle w:val="Compact"/>
              <w:jc w:val="left"/>
            </w:pPr>
            <w:r>
              <w:t xml:space="preserve">Load Banks</w:t>
            </w:r>
          </w:p>
        </w:tc>
        <w:tc>
          <w:tcPr/>
          <w:p>
            <w:pPr>
              <w:pStyle w:val="Compact"/>
              <w:jc w:val="left"/>
            </w:pPr>
            <w:r>
              <w:t xml:space="preserve">4</w:t>
            </w:r>
          </w:p>
        </w:tc>
        <w:tc>
          <w:tcPr/>
          <w:p>
            <w:pPr>
              <w:pStyle w:val="Compact"/>
              <w:jc w:val="left"/>
            </w:pPr>
            <w:r>
              <w:t xml:space="preserve">Capable of simulating up to 100% load</w:t>
            </w:r>
          </w:p>
        </w:tc>
      </w:tr>
      <w:tr>
        <w:tc>
          <w:tcPr/>
          <w:p>
            <w:pPr>
              <w:pStyle w:val="Compact"/>
              <w:jc w:val="left"/>
            </w:pPr>
            <w:r>
              <w:t xml:space="preserve">Power Quality Analyzers</w:t>
            </w:r>
          </w:p>
        </w:tc>
        <w:tc>
          <w:tcPr/>
          <w:p>
            <w:pPr>
              <w:pStyle w:val="Compact"/>
              <w:jc w:val="left"/>
            </w:pPr>
            <w:r>
              <w:t xml:space="preserve">2</w:t>
            </w:r>
          </w:p>
        </w:tc>
        <w:tc>
          <w:tcPr/>
          <w:p>
            <w:pPr>
              <w:pStyle w:val="Compact"/>
              <w:jc w:val="left"/>
            </w:pPr>
            <w:r>
              <w:t xml:space="preserve">IEEE 519 compliant</w:t>
            </w:r>
          </w:p>
        </w:tc>
      </w:tr>
      <w:tr>
        <w:tc>
          <w:tcPr/>
          <w:p>
            <w:pPr>
              <w:pStyle w:val="Compact"/>
              <w:jc w:val="left"/>
            </w:pPr>
            <w:r>
              <w:t xml:space="preserve">Thermal Imaging Cameras</w:t>
            </w:r>
          </w:p>
        </w:tc>
        <w:tc>
          <w:tcPr/>
          <w:p>
            <w:pPr>
              <w:pStyle w:val="Compact"/>
              <w:jc w:val="left"/>
            </w:pPr>
            <w:r>
              <w:t xml:space="preserve">2</w:t>
            </w:r>
          </w:p>
        </w:tc>
        <w:tc>
          <w:tcPr/>
          <w:p>
            <w:pPr>
              <w:pStyle w:val="Compact"/>
              <w:jc w:val="left"/>
            </w:pPr>
            <w:r>
              <w:t xml:space="preserve">Resolution: 640x480</w:t>
            </w:r>
          </w:p>
        </w:tc>
      </w:tr>
      <w:tr>
        <w:tc>
          <w:tcPr/>
          <w:p>
            <w:pPr>
              <w:pStyle w:val="Compact"/>
              <w:jc w:val="left"/>
            </w:pPr>
            <w:r>
              <w:t xml:space="preserve">Insulated Tools</w:t>
            </w:r>
          </w:p>
        </w:tc>
        <w:tc>
          <w:tcPr/>
          <w:p>
            <w:pPr>
              <w:pStyle w:val="Compact"/>
              <w:jc w:val="left"/>
            </w:pPr>
            <w:r>
              <w:t xml:space="preserve">1 Set</w:t>
            </w:r>
          </w:p>
        </w:tc>
        <w:tc>
          <w:tcPr/>
          <w:p>
            <w:pPr>
              <w:pStyle w:val="Compact"/>
              <w:jc w:val="left"/>
            </w:pPr>
            <w:r>
              <w:t xml:space="preserve">Rated for 138 kV</w:t>
            </w:r>
          </w:p>
        </w:tc>
      </w:tr>
    </w:tbl>
    <w:bookmarkEnd w:id="24"/>
    <w:bookmarkStart w:id="28" w:name="procedure"/>
    <w:p>
      <w:pPr>
        <w:pStyle w:val="Heading2"/>
      </w:pPr>
      <w:r>
        <w:t xml:space="preserve">5. Procedure</w:t>
      </w:r>
    </w:p>
    <w:bookmarkStart w:id="25" w:name="pre-test-inspection"/>
    <w:p>
      <w:pPr>
        <w:pStyle w:val="Heading3"/>
      </w:pPr>
      <w:r>
        <w:t xml:space="preserve">5.1 Pre-Test Inspection</w:t>
      </w:r>
    </w:p>
    <w:p>
      <w:pPr>
        <w:numPr>
          <w:ilvl w:val="0"/>
          <w:numId w:val="1003"/>
        </w:numPr>
        <w:pStyle w:val="Compact"/>
      </w:pPr>
      <w:r>
        <w:t xml:space="preserve">Conduct a visual inspection of all transformers and associated equipment.</w:t>
      </w:r>
    </w:p>
    <w:p>
      <w:pPr>
        <w:numPr>
          <w:ilvl w:val="0"/>
          <w:numId w:val="1003"/>
        </w:numPr>
        <w:pStyle w:val="Compact"/>
      </w:pPr>
      <w:r>
        <w:t xml:space="preserve">Verify that all connections are secure and properly insulated.</w:t>
      </w:r>
    </w:p>
    <w:p>
      <w:pPr>
        <w:numPr>
          <w:ilvl w:val="0"/>
          <w:numId w:val="1003"/>
        </w:numPr>
        <w:pStyle w:val="Compact"/>
      </w:pPr>
      <w:r>
        <w:t xml:space="preserve">Check oil levels and quality in the transformers.</w:t>
      </w:r>
    </w:p>
    <w:p>
      <w:pPr>
        <w:numPr>
          <w:ilvl w:val="0"/>
          <w:numId w:val="1003"/>
        </w:numPr>
        <w:pStyle w:val="Compact"/>
      </w:pPr>
      <w:r>
        <w:t xml:space="preserve">Ensure that all safety devices, such as circuit breakers and relays, are functional.</w:t>
      </w:r>
    </w:p>
    <w:bookmarkEnd w:id="25"/>
    <w:bookmarkStart w:id="26" w:name="load-testing"/>
    <w:p>
      <w:pPr>
        <w:pStyle w:val="Heading3"/>
      </w:pPr>
      <w:r>
        <w:t xml:space="preserve">5.2 Load Testing</w:t>
      </w:r>
    </w:p>
    <w:p>
      <w:pPr>
        <w:numPr>
          <w:ilvl w:val="0"/>
          <w:numId w:val="1004"/>
        </w:numPr>
        <w:pStyle w:val="Compact"/>
      </w:pPr>
      <w:r>
        <w:t xml:space="preserve">Gradually increase the load on the transformers using the load banks.</w:t>
      </w:r>
    </w:p>
    <w:p>
      <w:pPr>
        <w:numPr>
          <w:ilvl w:val="0"/>
          <w:numId w:val="1004"/>
        </w:numPr>
        <w:pStyle w:val="Compact"/>
      </w:pPr>
      <w:r>
        <w:t xml:space="preserve">Monitor voltage, current, power factor, and temperature at each load increment.</w:t>
      </w:r>
    </w:p>
    <w:p>
      <w:pPr>
        <w:numPr>
          <w:ilvl w:val="0"/>
          <w:numId w:val="1004"/>
        </w:numPr>
        <w:pStyle w:val="Compact"/>
      </w:pPr>
      <w:r>
        <w:t xml:space="preserve">Record data at 25%, 50%, 75%, and 100% load levels.</w:t>
      </w:r>
    </w:p>
    <w:p>
      <w:pPr>
        <w:numPr>
          <w:ilvl w:val="0"/>
          <w:numId w:val="1004"/>
        </w:numPr>
        <w:pStyle w:val="Compact"/>
      </w:pPr>
      <w:r>
        <w:t xml:space="preserve">Maintain each load level for a minimum of 30 minutes to ensure stable readings.</w:t>
      </w:r>
    </w:p>
    <w:p>
      <w:pPr>
        <w:numPr>
          <w:ilvl w:val="0"/>
          <w:numId w:val="1004"/>
        </w:numPr>
        <w:pStyle w:val="Compact"/>
      </w:pPr>
      <w:r>
        <w:t xml:space="preserve">Use thermal imaging cameras to identify any hot spots or abnormal heating.</w:t>
      </w:r>
    </w:p>
    <w:bookmarkEnd w:id="26"/>
    <w:bookmarkStart w:id="27" w:name="post-test-evaluation"/>
    <w:p>
      <w:pPr>
        <w:pStyle w:val="Heading3"/>
      </w:pPr>
      <w:r>
        <w:t xml:space="preserve">5.3 Post-Test Evaluation</w:t>
      </w:r>
    </w:p>
    <w:p>
      <w:pPr>
        <w:numPr>
          <w:ilvl w:val="0"/>
          <w:numId w:val="1005"/>
        </w:numPr>
        <w:pStyle w:val="Compact"/>
      </w:pPr>
      <w:r>
        <w:t xml:space="preserve">Gradually reduce the load and shut down the transformers.</w:t>
      </w:r>
    </w:p>
    <w:p>
      <w:pPr>
        <w:numPr>
          <w:ilvl w:val="0"/>
          <w:numId w:val="1005"/>
        </w:numPr>
        <w:pStyle w:val="Compact"/>
      </w:pPr>
      <w:r>
        <w:t xml:space="preserve">Conduct a final visual inspection for any signs of damage or overheating.</w:t>
      </w:r>
    </w:p>
    <w:p>
      <w:pPr>
        <w:numPr>
          <w:ilvl w:val="0"/>
          <w:numId w:val="1005"/>
        </w:numPr>
        <w:pStyle w:val="Compact"/>
      </w:pPr>
      <w:r>
        <w:t xml:space="preserve">Analyze the collected data to assess performance against design specifications.</w:t>
      </w:r>
    </w:p>
    <w:p>
      <w:pPr>
        <w:numPr>
          <w:ilvl w:val="0"/>
          <w:numId w:val="1005"/>
        </w:numPr>
        <w:pStyle w:val="Compact"/>
      </w:pPr>
      <w:r>
        <w:t xml:space="preserve">Prepare a detailed report summarizing the findings and recommendations.</w:t>
      </w:r>
    </w:p>
    <w:bookmarkEnd w:id="27"/>
    <w:bookmarkEnd w:id="28"/>
    <w:bookmarkStart w:id="29" w:name="data-collection-and-analysis"/>
    <w:p>
      <w:pPr>
        <w:pStyle w:val="Heading2"/>
      </w:pPr>
      <w:r>
        <w:t xml:space="preserve">6. Data Collection and Analysis</w:t>
      </w:r>
    </w:p>
    <w:p>
      <w:pPr>
        <w:pStyle w:val="FirstParagraph"/>
      </w:pPr>
      <w:r>
        <w:t xml:space="preserve">All data will be recorded using calibrated instruments and stored in a secure database. The Electrical Engineer will analyze the data to determine:</w:t>
      </w:r>
    </w:p>
    <w:p>
      <w:pPr>
        <w:numPr>
          <w:ilvl w:val="0"/>
          <w:numId w:val="1006"/>
        </w:numPr>
        <w:pStyle w:val="Compact"/>
      </w:pPr>
      <w:r>
        <w:t xml:space="preserve">Efficiency of the transformers under various load conditions.</w:t>
      </w:r>
    </w:p>
    <w:p>
      <w:pPr>
        <w:numPr>
          <w:ilvl w:val="0"/>
          <w:numId w:val="1006"/>
        </w:numPr>
        <w:pStyle w:val="Compact"/>
      </w:pPr>
      <w:r>
        <w:t xml:space="preserve">Compliance with IEEE and NESC standards.</w:t>
      </w:r>
    </w:p>
    <w:p>
      <w:pPr>
        <w:numPr>
          <w:ilvl w:val="0"/>
          <w:numId w:val="1006"/>
        </w:numPr>
        <w:pStyle w:val="Compact"/>
      </w:pPr>
      <w:r>
        <w:t xml:space="preserve">Any deviations from expected performance and potential causes.</w:t>
      </w:r>
    </w:p>
    <w:p>
      <w:pPr>
        <w:pStyle w:val="FirstParagraph"/>
      </w:pPr>
      <w:r>
        <w:t xml:space="preserve">Special attention will be given to the impact of Houston's high ambient temperatures on transformer performance.</w:t>
      </w:r>
    </w:p>
    <w:bookmarkEnd w:id="29"/>
    <w:bookmarkStart w:id="30" w:name="reporting"/>
    <w:p>
      <w:pPr>
        <w:pStyle w:val="Heading2"/>
      </w:pPr>
      <w:r>
        <w:t xml:space="preserve">7. Reporting</w:t>
      </w:r>
    </w:p>
    <w:p>
      <w:pPr>
        <w:pStyle w:val="FirstParagraph"/>
      </w:pPr>
      <w:r>
        <w:t xml:space="preserve">A comprehensive report will be submitted to the project stakeholders within 10 business days of completing the experiment. The report will include:</w:t>
      </w:r>
    </w:p>
    <w:p>
      <w:pPr>
        <w:numPr>
          <w:ilvl w:val="0"/>
          <w:numId w:val="1007"/>
        </w:numPr>
        <w:pStyle w:val="Compact"/>
      </w:pPr>
      <w:r>
        <w:t xml:space="preserve">Executive summary of the test results.</w:t>
      </w:r>
    </w:p>
    <w:p>
      <w:pPr>
        <w:numPr>
          <w:ilvl w:val="0"/>
          <w:numId w:val="1007"/>
        </w:numPr>
        <w:pStyle w:val="Compact"/>
      </w:pPr>
      <w:r>
        <w:t xml:space="preserve">Detailed data tables and graphs.</w:t>
      </w:r>
    </w:p>
    <w:p>
      <w:pPr>
        <w:numPr>
          <w:ilvl w:val="0"/>
          <w:numId w:val="1007"/>
        </w:numPr>
        <w:pStyle w:val="Compact"/>
      </w:pPr>
      <w:r>
        <w:t xml:space="preserve">Analysis of performance and compliance.</w:t>
      </w:r>
    </w:p>
    <w:p>
      <w:pPr>
        <w:numPr>
          <w:ilvl w:val="0"/>
          <w:numId w:val="1007"/>
        </w:numPr>
        <w:pStyle w:val="Compact"/>
      </w:pPr>
      <w:r>
        <w:t xml:space="preserve">Recommendations for any necessary adjustments or maintenance.</w:t>
      </w:r>
    </w:p>
    <w:bookmarkEnd w:id="30"/>
    <w:bookmarkStart w:id="31" w:name="signatures"/>
    <w:p>
      <w:pPr>
        <w:pStyle w:val="Heading2"/>
      </w:pPr>
      <w:r>
        <w:t xml:space="preserve">8. Signatures</w:t>
      </w:r>
    </w:p>
    <w:p>
      <w:pPr>
        <w:pStyle w:val="FirstParagraph"/>
      </w:pPr>
      <w:r>
        <w:rPr>
          <w:bCs/>
          <w:b/>
        </w:rPr>
        <w:t xml:space="preserve">Electrical Engineer:</w:t>
      </w:r>
      <w:r>
        <w:t xml:space="preserve"> </w:t>
      </w:r>
      <w:r>
        <w:t xml:space="preserve">___________________________ Date: _______________</w:t>
      </w:r>
    </w:p>
    <w:p>
      <w:pPr>
        <w:pStyle w:val="BodyText"/>
      </w:pPr>
      <w:r>
        <w:rPr>
          <w:bCs/>
          <w:b/>
        </w:rPr>
        <w:t xml:space="preserve">Safety Officer:</w:t>
      </w:r>
      <w:r>
        <w:t xml:space="preserve"> </w:t>
      </w:r>
      <w:r>
        <w:t xml:space="preserve">___________________________ Date: _______________</w:t>
      </w:r>
    </w:p>
    <w:p>
      <w:pPr>
        <w:pStyle w:val="BodyText"/>
      </w:pPr>
      <w:r>
        <w:rPr>
          <w:bCs/>
          <w:b/>
        </w:rPr>
        <w:t xml:space="preserve">Project Manager:</w:t>
      </w:r>
      <w:r>
        <w:t xml:space="preserve"> </w:t>
      </w:r>
      <w:r>
        <w:t xml:space="preserve">___________________________ Date: _______________</w:t>
      </w:r>
    </w:p>
    <w:bookmarkEnd w:id="31"/>
    <w:bookmarkStart w:id="32" w:name="references"/>
    <w:p>
      <w:pPr>
        <w:pStyle w:val="Heading2"/>
      </w:pPr>
      <w:r>
        <w:t xml:space="preserve">9. References</w:t>
      </w:r>
    </w:p>
    <w:p>
      <w:pPr>
        <w:numPr>
          <w:ilvl w:val="0"/>
          <w:numId w:val="1008"/>
        </w:numPr>
        <w:pStyle w:val="Compact"/>
      </w:pPr>
      <w:r>
        <w:t xml:space="preserve">National Electrical Safety Code (NESC)</w:t>
      </w:r>
    </w:p>
    <w:p>
      <w:pPr>
        <w:numPr>
          <w:ilvl w:val="0"/>
          <w:numId w:val="1008"/>
        </w:numPr>
        <w:pStyle w:val="Compact"/>
      </w:pPr>
      <w:r>
        <w:t xml:space="preserve">IEEE Standard C57.12.00-2015</w:t>
      </w:r>
    </w:p>
    <w:p>
      <w:pPr>
        <w:numPr>
          <w:ilvl w:val="0"/>
          <w:numId w:val="1008"/>
        </w:numPr>
        <w:pStyle w:val="Compact"/>
      </w:pPr>
      <w:r>
        <w:t xml:space="preserve">OSHA 29 CFR 1910.269</w:t>
      </w:r>
    </w:p>
    <w:p>
      <w:pPr>
        <w:numPr>
          <w:ilvl w:val="0"/>
          <w:numId w:val="1008"/>
        </w:numPr>
        <w:pStyle w:val="Compact"/>
      </w:pPr>
      <w:r>
        <w:t xml:space="preserve">Texas State Electrical Code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Substation Load Testing</dc:title>
  <dc:creator/>
  <dc:language>en</dc:language>
  <cp:keywords/>
  <dcterms:created xsi:type="dcterms:W3CDTF">2026-10-10T01:45:16Z</dcterms:created>
  <dcterms:modified xsi:type="dcterms:W3CDTF">2026-10-10T01:45:16Z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