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Buenos</w:t>
      </w:r>
      <w:r>
        <w:t xml:space="preserve"> </w:t>
      </w:r>
      <w:r>
        <w:t xml:space="preserve">Aires</w:t>
      </w:r>
    </w:p>
    <w:bookmarkStart w:id="34" w:name="X0537102c5966717ed0064b511b1e257284bc585"/>
    <w:p>
      <w:pPr>
        <w:pStyle w:val="Heading1"/>
      </w:pPr>
      <w:r>
        <w:t xml:space="preserve">Experiment Protocol: Evaluation of Electrical Installation Efficiency and Safety Compliance</w:t>
      </w:r>
    </w:p>
    <w:p>
      <w:pPr>
        <w:pStyle w:val="FirstParagraph"/>
      </w:pPr>
      <w:r>
        <w:rPr>
          <w:bCs/>
          <w:b/>
        </w:rPr>
        <w:t xml:space="preserve">Document ID:</w:t>
      </w:r>
      <w:r>
        <w:t xml:space="preserve"> </w:t>
      </w:r>
      <w:r>
        <w:t xml:space="preserve">EP-BA-2023-001</w:t>
      </w:r>
    </w:p>
    <w:p>
      <w:pPr>
        <w:pStyle w:val="BodyText"/>
      </w:pPr>
      <w:r>
        <w:rPr>
          <w:bCs/>
          <w:b/>
        </w:rPr>
        <w:t xml:space="preserve">Location:</w:t>
      </w:r>
      <w:r>
        <w:t xml:space="preserve"> </w:t>
      </w:r>
      <w:r>
        <w:t xml:space="preserve">Buenos Aires, Argentina</w:t>
      </w:r>
    </w:p>
    <w:p>
      <w:pPr>
        <w:pStyle w:val="BodyText"/>
      </w:pPr>
      <w:r>
        <w:rPr>
          <w:bCs/>
          <w:b/>
        </w:rPr>
        <w:t xml:space="preserve">Subject:</w:t>
      </w:r>
      <w:r>
        <w:t xml:space="preserve"> </w:t>
      </w:r>
      <w:r>
        <w:t xml:space="preserve">Professional Electrician Performance and Grid Integration</w:t>
      </w:r>
    </w:p>
    <w:p>
      <w:pPr>
        <w:pStyle w:val="BodyText"/>
      </w:pPr>
      <w:r>
        <w:rPr>
          <w:bCs/>
          <w:b/>
        </w:rPr>
        <w:t xml:space="preserve">Date:</w:t>
      </w:r>
      <w:r>
        <w:t xml:space="preserve"> </w:t>
      </w:r>
      <w:r>
        <w:t xml:space="preserve">October 26, 2023</w:t>
      </w:r>
    </w:p>
    <w:p>
      <w:pPr>
        <w:pStyle w:val="BodyText"/>
      </w:pPr>
      <w:r>
        <w:rPr>
          <w:bCs/>
          <w:b/>
        </w:rPr>
        <w:t xml:space="preserve">Regulatory Framework:</w:t>
      </w:r>
      <w:r>
        <w:t xml:space="preserve"> </w:t>
      </w:r>
      <w:r>
        <w:t xml:space="preserve">IRAM 2281 / Ley de Electricidad de la Ciudad Autónoma de Buenos Aires</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technical proficiency, safety adherence, and efficiency of electrical installations performed by certified electricians within the jurisdiction of Buenos Aires, Argentina. The primary objective is to evaluate how local electrical professionals adapt to the specific climatic, regulatory, and infrastructural challenges of the region while ensuring compliance with the Instituto Argentino de Normalización y Certificación (IRAM) standards.</w:t>
      </w:r>
    </w:p>
    <w:p>
      <w:pPr>
        <w:pStyle w:val="BodyText"/>
      </w:pPr>
      <w:r>
        <w:t xml:space="preserve">Given the unique electrical grid characteristics of Buenos Aires, including voltage fluctuations and high humidity levels near the Río de la Plata, this experiment aims to quantify the reliability of residential and commercial installations. The protocol serves as a standardized guide for researchers, regulatory bodies, and educational institutions to measure the quality of work delivered by electricians in this specific geographic context.</w:t>
      </w:r>
    </w:p>
    <w:bookmarkEnd w:id="20"/>
    <w:bookmarkStart w:id="21" w:name="scope-and-applicability"/>
    <w:p>
      <w:pPr>
        <w:pStyle w:val="Heading2"/>
      </w:pPr>
      <w:r>
        <w:t xml:space="preserve">2. Scope and Applicability</w:t>
      </w:r>
    </w:p>
    <w:p>
      <w:pPr>
        <w:pStyle w:val="FirstParagraph"/>
      </w:pPr>
      <w:r>
        <w:t xml:space="preserve">This protocol applies exclusively to electrical works conducted in the Autonomous City of Buenos Aires (CABA) and the Greater Buenos Aires (AMBA) metropolitan area. It covers low-voltage installations (up to 1000V AC) typical of residential apartments, commercial offices, and small industrial units. The experiment focuses on the interaction between the electrician’s technical execution and the local distribution network managed by Edesur and Distribuidora Eléctrica de Buenos Aires (DEBA).</w:t>
      </w:r>
    </w:p>
    <w:bookmarkEnd w:id="21"/>
    <w:bookmarkStart w:id="22" w:name="regulatory-compliance-and-standards"/>
    <w:p>
      <w:pPr>
        <w:pStyle w:val="Heading2"/>
      </w:pPr>
      <w:r>
        <w:t xml:space="preserve">3. Regulatory Compliance and Standards</w:t>
      </w:r>
    </w:p>
    <w:p>
      <w:pPr>
        <w:pStyle w:val="FirstParagraph"/>
      </w:pPr>
      <w:r>
        <w:t xml:space="preserve">All procedures within this experiment must strictly adhere to the following Argentine regulations:</w:t>
      </w:r>
    </w:p>
    <w:p>
      <w:pPr>
        <w:numPr>
          <w:ilvl w:val="0"/>
          <w:numId w:val="1001"/>
        </w:numPr>
        <w:pStyle w:val="Compact"/>
      </w:pPr>
      <w:r>
        <w:rPr>
          <w:bCs/>
          <w:b/>
        </w:rPr>
        <w:t xml:space="preserve">IRAM 2281:</w:t>
      </w:r>
      <w:r>
        <w:t xml:space="preserve"> </w:t>
      </w:r>
      <w:r>
        <w:t xml:space="preserve">The primary standard for electrical installations in buildings.</w:t>
      </w:r>
    </w:p>
    <w:p>
      <w:pPr>
        <w:numPr>
          <w:ilvl w:val="0"/>
          <w:numId w:val="1001"/>
        </w:numPr>
        <w:pStyle w:val="Compact"/>
      </w:pPr>
      <w:r>
        <w:rPr>
          <w:bCs/>
          <w:b/>
        </w:rPr>
        <w:t xml:space="preserve">Ley 19.587:</w:t>
      </w:r>
      <w:r>
        <w:t xml:space="preserve"> </w:t>
      </w:r>
      <w:r>
        <w:t xml:space="preserve">Safety and hygiene in work.</w:t>
      </w:r>
    </w:p>
    <w:p>
      <w:pPr>
        <w:numPr>
          <w:ilvl w:val="0"/>
          <w:numId w:val="1001"/>
        </w:numPr>
        <w:pStyle w:val="Compact"/>
      </w:pPr>
      <w:r>
        <w:rPr>
          <w:bCs/>
          <w:b/>
        </w:rPr>
        <w:t xml:space="preserve">Local Decrees:</w:t>
      </w:r>
      <w:r>
        <w:t xml:space="preserve"> </w:t>
      </w:r>
      <w:r>
        <w:t xml:space="preserve">Specific ordinances of the Buenos Aires City Government regarding electrical permits and inspections.</w:t>
      </w:r>
    </w:p>
    <w:p>
      <w:pPr>
        <w:pStyle w:val="FirstParagraph"/>
      </w:pPr>
      <w:r>
        <w:t xml:space="preserve">The electrician participating in this experiment must hold a valid "Matrícula" (professional license) issued by the Colegio de Electricistas de la Ciudad Autónoma de Buenos Aires.</w:t>
      </w:r>
    </w:p>
    <w:bookmarkEnd w:id="22"/>
    <w:bookmarkStart w:id="25" w:name="experimental-setup-and-environment"/>
    <w:p>
      <w:pPr>
        <w:pStyle w:val="Heading2"/>
      </w:pPr>
      <w:r>
        <w:t xml:space="preserve">4. Experimental Setup and Environment</w:t>
      </w:r>
    </w:p>
    <w:bookmarkStart w:id="23" w:name="test-site-selection"/>
    <w:p>
      <w:pPr>
        <w:pStyle w:val="Heading3"/>
      </w:pPr>
      <w:r>
        <w:t xml:space="preserve">4.1. Test Site Selection</w:t>
      </w:r>
    </w:p>
    <w:p>
      <w:pPr>
        <w:pStyle w:val="FirstParagraph"/>
      </w:pPr>
      <w:r>
        <w:t xml:space="preserve">The experiment will be conducted in three distinct zones within Buenos Aires to account for environmental variability:</w:t>
      </w:r>
    </w:p>
    <w:p>
      <w:pPr>
        <w:numPr>
          <w:ilvl w:val="0"/>
          <w:numId w:val="1002"/>
        </w:numPr>
        <w:pStyle w:val="Compact"/>
      </w:pPr>
      <w:r>
        <w:rPr>
          <w:bCs/>
          <w:b/>
        </w:rPr>
        <w:t xml:space="preserve">Zone A (Microcentro):</w:t>
      </w:r>
      <w:r>
        <w:t xml:space="preserve"> </w:t>
      </w:r>
      <w:r>
        <w:t xml:space="preserve">High-density commercial buildings with older infrastructure.</w:t>
      </w:r>
    </w:p>
    <w:p>
      <w:pPr>
        <w:numPr>
          <w:ilvl w:val="0"/>
          <w:numId w:val="1002"/>
        </w:numPr>
        <w:pStyle w:val="Compact"/>
      </w:pPr>
      <w:r>
        <w:rPr>
          <w:bCs/>
          <w:b/>
        </w:rPr>
        <w:t xml:space="preserve">Zone B (Norte):</w:t>
      </w:r>
      <w:r>
        <w:t xml:space="preserve"> </w:t>
      </w:r>
      <w:r>
        <w:t xml:space="preserve">Modern residential complexes with new construction standards.</w:t>
      </w:r>
    </w:p>
    <w:p>
      <w:pPr>
        <w:numPr>
          <w:ilvl w:val="0"/>
          <w:numId w:val="1002"/>
        </w:numPr>
        <w:pStyle w:val="Compact"/>
      </w:pPr>
      <w:r>
        <w:rPr>
          <w:bCs/>
          <w:b/>
        </w:rPr>
        <w:t xml:space="preserve">Zone C (Costanera Sur):</w:t>
      </w:r>
      <w:r>
        <w:t xml:space="preserve"> </w:t>
      </w:r>
      <w:r>
        <w:t xml:space="preserve">Areas with high humidity and salt exposure, testing corrosion resistance.</w:t>
      </w:r>
    </w:p>
    <w:bookmarkEnd w:id="23"/>
    <w:bookmarkStart w:id="24" w:name="equipment-and-materials"/>
    <w:p>
      <w:pPr>
        <w:pStyle w:val="Heading3"/>
      </w:pPr>
      <w:r>
        <w:t xml:space="preserve">4.2. Equipment and Materials</w:t>
      </w:r>
    </w:p>
    <w:p>
      <w:pPr>
        <w:pStyle w:val="FirstParagraph"/>
      </w:pPr>
      <w:r>
        <w:t xml:space="preserve">The electrician will utilize standard tools and materials approved for use in Argentina. This includes copper conductors with insulation rated for 750V, circuit breakers compliant with IRAM standards, and grounding systems adapted to the local soil resistivity.</w:t>
      </w:r>
    </w:p>
    <w:bookmarkEnd w:id="24"/>
    <w:bookmarkEnd w:id="25"/>
    <w:bookmarkStart w:id="30" w:name="methodology"/>
    <w:p>
      <w:pPr>
        <w:pStyle w:val="Heading2"/>
      </w:pPr>
      <w:r>
        <w:t xml:space="preserve">5. Methodology</w:t>
      </w:r>
    </w:p>
    <w:p>
      <w:pPr>
        <w:pStyle w:val="FirstParagraph"/>
      </w:pPr>
      <w:r>
        <w:t xml:space="preserve">The experiment is divided into four phases, each designed to test a specific competency of the electrician.</w:t>
      </w:r>
    </w:p>
    <w:bookmarkStart w:id="26" w:name="phase-1-diagnostic-and-planning"/>
    <w:p>
      <w:pPr>
        <w:pStyle w:val="Heading3"/>
      </w:pPr>
      <w:r>
        <w:t xml:space="preserve">Phase 1: Diagnostic and Planning</w:t>
      </w:r>
    </w:p>
    <w:p>
      <w:pPr>
        <w:pStyle w:val="FirstParagraph"/>
      </w:pPr>
      <w:r>
        <w:t xml:space="preserve">The electrician must perform a comprehensive audit of the existing electrical system. This includes measuring voltage stability, identifying potential overload risks, and assessing the condition of the grounding system. The electrician must produce a technical report detailing necessary upgrades, considering the specific load demands of Buenos Aires households, which often include air conditioning units operating during extreme heatwaves.</w:t>
      </w:r>
    </w:p>
    <w:bookmarkEnd w:id="26"/>
    <w:bookmarkStart w:id="27" w:name="phase-2-installation-execution"/>
    <w:p>
      <w:pPr>
        <w:pStyle w:val="Heading3"/>
      </w:pPr>
      <w:r>
        <w:t xml:space="preserve">Phase 2: Installation Execution</w:t>
      </w:r>
    </w:p>
    <w:p>
      <w:pPr>
        <w:pStyle w:val="FirstParagraph"/>
      </w:pPr>
      <w:r>
        <w:t xml:space="preserve">The electrician will install a new distribution board and wiring circuit for a simulated high-load environment. Key performance indicators (KPIs) include:</w:t>
      </w:r>
    </w:p>
    <w:p>
      <w:pPr>
        <w:numPr>
          <w:ilvl w:val="0"/>
          <w:numId w:val="1003"/>
        </w:numPr>
        <w:pStyle w:val="Compact"/>
      </w:pPr>
      <w:r>
        <w:t xml:space="preserve">Correct sizing of conductors based on IRAM 2281 tables.</w:t>
      </w:r>
    </w:p>
    <w:p>
      <w:pPr>
        <w:numPr>
          <w:ilvl w:val="0"/>
          <w:numId w:val="1003"/>
        </w:numPr>
        <w:pStyle w:val="Compact"/>
      </w:pPr>
      <w:r>
        <w:t xml:space="preserve">Proper installation of Differential Residual Current Devices (DRs) to prevent electrocution.</w:t>
      </w:r>
    </w:p>
    <w:p>
      <w:pPr>
        <w:numPr>
          <w:ilvl w:val="0"/>
          <w:numId w:val="1003"/>
        </w:numPr>
        <w:pStyle w:val="Compact"/>
      </w:pPr>
      <w:r>
        <w:t xml:space="preserve">Adherence to color coding standards (Phase: Brown/Black, Neutral: Blue, Ground: Green/Yellow).</w:t>
      </w:r>
    </w:p>
    <w:bookmarkEnd w:id="27"/>
    <w:bookmarkStart w:id="28" w:name="phase-3-safety-and-stress-testing"/>
    <w:p>
      <w:pPr>
        <w:pStyle w:val="Heading3"/>
      </w:pPr>
      <w:r>
        <w:t xml:space="preserve">Phase 3: Safety and Stress Testing</w:t>
      </w:r>
    </w:p>
    <w:p>
      <w:pPr>
        <w:pStyle w:val="FirstParagraph"/>
      </w:pPr>
      <w:r>
        <w:t xml:space="preserve">Once the installation is complete, the system will undergo stress testing. This involves simulating voltage sags and surges common in the Buenos Aires grid. The electrician must demonstrate that the protective devices function correctly under these conditions. Additionally, insulation resistance tests (Megger tests) will be performed to ensure safety against leakage currents, particularly critical in the humid coastal zones.</w:t>
      </w:r>
    </w:p>
    <w:bookmarkEnd w:id="28"/>
    <w:bookmarkStart w:id="29" w:name="phase-4-documentation-and-handover"/>
    <w:p>
      <w:pPr>
        <w:pStyle w:val="Heading3"/>
      </w:pPr>
      <w:r>
        <w:t xml:space="preserve">Phase 4: Documentation and Handover</w:t>
      </w:r>
    </w:p>
    <w:p>
      <w:pPr>
        <w:pStyle w:val="FirstParagraph"/>
      </w:pPr>
      <w:r>
        <w:t xml:space="preserve">The final phase evaluates the electrician’s ability to document the work. This includes updating the "Libreta de Carga" (Load Booklet) and providing the client with a clear explanation of the new system. Compliance with local bureaucratic requirements is a critical success factor in this phase.</w:t>
      </w:r>
    </w:p>
    <w:bookmarkEnd w:id="29"/>
    <w:bookmarkEnd w:id="30"/>
    <w:bookmarkStart w:id="31" w:name="data-collection-and-metrics"/>
    <w:p>
      <w:pPr>
        <w:pStyle w:val="Heading2"/>
      </w:pPr>
      <w:r>
        <w:t xml:space="preserve">6. Data Collection and Metrics</w:t>
      </w:r>
    </w:p>
    <w:p>
      <w:pPr>
        <w:pStyle w:val="FirstParagraph"/>
      </w:pPr>
      <w:r>
        <w:t xml:space="preserve">Data will be collected using calibrated multimeters, clamp meters, and thermal imaging cameras. The following metrics will be recorded: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Target Value</w:t>
            </w:r>
          </w:p>
        </w:tc>
        <w:tc>
          <w:tcPr/>
          <w:p>
            <w:pPr>
              <w:pStyle w:val="Compact"/>
              <w:jc w:val="left"/>
            </w:pPr>
            <w:r>
              <w:t xml:space="preserve">Measurement Tool</w:t>
            </w:r>
          </w:p>
        </w:tc>
      </w:tr>
      <w:tr>
        <w:tc>
          <w:tcPr/>
          <w:p>
            <w:pPr>
              <w:pStyle w:val="Compact"/>
              <w:jc w:val="left"/>
            </w:pPr>
            <w:r>
              <w:t xml:space="preserve">Voltage Stability</w:t>
            </w:r>
          </w:p>
        </w:tc>
        <w:tc>
          <w:tcPr/>
          <w:p>
            <w:pPr>
              <w:pStyle w:val="Compact"/>
              <w:jc w:val="left"/>
            </w:pPr>
            <w:r>
              <w:t xml:space="preserve">220V ± 10%</w:t>
            </w:r>
          </w:p>
        </w:tc>
        <w:tc>
          <w:tcPr/>
          <w:p>
            <w:pPr>
              <w:pStyle w:val="Compact"/>
              <w:jc w:val="left"/>
            </w:pPr>
            <w:r>
              <w:t xml:space="preserve">Digital Multimeter</w:t>
            </w:r>
          </w:p>
        </w:tc>
      </w:tr>
      <w:tr>
        <w:tc>
          <w:tcPr/>
          <w:p>
            <w:pPr>
              <w:pStyle w:val="Compact"/>
              <w:jc w:val="left"/>
            </w:pPr>
            <w:r>
              <w:t xml:space="preserve">Insulation Resistance</w:t>
            </w:r>
          </w:p>
        </w:tc>
        <w:tc>
          <w:tcPr/>
          <w:p>
            <w:pPr>
              <w:pStyle w:val="Compact"/>
              <w:jc w:val="left"/>
            </w:pPr>
            <w:r>
              <w:t xml:space="preserve">&gt; 1 MΩ</w:t>
            </w:r>
          </w:p>
        </w:tc>
        <w:tc>
          <w:tcPr/>
          <w:p>
            <w:pPr>
              <w:pStyle w:val="Compact"/>
              <w:jc w:val="left"/>
            </w:pPr>
            <w:r>
              <w:t xml:space="preserve">Megohmmeter</w:t>
            </w:r>
          </w:p>
        </w:tc>
      </w:tr>
      <w:tr>
        <w:tc>
          <w:tcPr/>
          <w:p>
            <w:pPr>
              <w:pStyle w:val="Compact"/>
              <w:jc w:val="left"/>
            </w:pPr>
            <w:r>
              <w:t xml:space="preserve">Grounding Resistance</w:t>
            </w:r>
          </w:p>
        </w:tc>
        <w:tc>
          <w:tcPr/>
          <w:p>
            <w:pPr>
              <w:pStyle w:val="Compact"/>
              <w:jc w:val="left"/>
            </w:pPr>
            <w:r>
              <w:t xml:space="preserve">&lt; 10 Ω</w:t>
            </w:r>
          </w:p>
        </w:tc>
        <w:tc>
          <w:tcPr/>
          <w:p>
            <w:pPr>
              <w:pStyle w:val="Compact"/>
              <w:jc w:val="left"/>
            </w:pPr>
            <w:r>
              <w:t xml:space="preserve">Earth Resistance Tester</w:t>
            </w:r>
          </w:p>
        </w:tc>
      </w:tr>
      <w:tr>
        <w:tc>
          <w:tcPr/>
          <w:p>
            <w:pPr>
              <w:pStyle w:val="Compact"/>
              <w:jc w:val="left"/>
            </w:pPr>
            <w:r>
              <w:t xml:space="preserve">Thermal Anomalies</w:t>
            </w:r>
          </w:p>
        </w:tc>
        <w:tc>
          <w:tcPr/>
          <w:p>
            <w:pPr>
              <w:pStyle w:val="Compact"/>
              <w:jc w:val="left"/>
            </w:pPr>
            <w:r>
              <w:t xml:space="preserve">None detected</w:t>
            </w:r>
          </w:p>
        </w:tc>
        <w:tc>
          <w:tcPr/>
          <w:p>
            <w:pPr>
              <w:pStyle w:val="Compact"/>
              <w:jc w:val="left"/>
            </w:pPr>
            <w:r>
              <w:t xml:space="preserve">Thermal Camera</w:t>
            </w:r>
          </w:p>
        </w:tc>
      </w:tr>
    </w:tbl>
    <w:bookmarkEnd w:id="31"/>
    <w:bookmarkStart w:id="32" w:name="safety-precautions"/>
    <w:p>
      <w:pPr>
        <w:pStyle w:val="Heading2"/>
      </w:pPr>
      <w:r>
        <w:t xml:space="preserve">7. Safety Precautions</w:t>
      </w:r>
    </w:p>
    <w:p>
      <w:pPr>
        <w:pStyle w:val="FirstParagraph"/>
      </w:pPr>
      <w:r>
        <w:rPr>
          <w:bCs/>
          <w:b/>
        </w:rPr>
        <w:t xml:space="preserve">WARNING:</w:t>
      </w:r>
      <w:r>
        <w:t xml:space="preserve"> </w:t>
      </w:r>
      <w:r>
        <w:t xml:space="preserve">All personnel involved in this experiment must wear appropriate Personal Protective Equipment (PPE), including insulated gloves, safety glasses, and non-conductive footwear. Lockout/Tagout (LOTO) procedures must be strictly enforced before any work begins on live circuits.</w:t>
      </w:r>
    </w:p>
    <w:p>
      <w:pPr>
        <w:pStyle w:val="BodyText"/>
      </w:pPr>
      <w:r>
        <w:t xml:space="preserve">In the event of an electrical fault or emergency, the protocol mandates immediate disconnection of the power supply at the main breaker and activation of the local emergency response plan. First aid kits and fire extinguishers rated for electrical fires (Class C) must be readily available on-site.</w:t>
      </w:r>
    </w:p>
    <w:bookmarkEnd w:id="32"/>
    <w:bookmarkStart w:id="33" w:name="conclusion-and-reporting"/>
    <w:p>
      <w:pPr>
        <w:pStyle w:val="Heading2"/>
      </w:pPr>
      <w:r>
        <w:t xml:space="preserve">8. Conclusion and Reporting</w:t>
      </w:r>
    </w:p>
    <w:p>
      <w:pPr>
        <w:pStyle w:val="FirstParagraph"/>
      </w:pPr>
      <w:r>
        <w:t xml:space="preserve">Upon completion of the experiment, a detailed report will be generated summarizing the findings. This report will highlight areas where the electrician’s performance met or exceeded IRAM standards and identify any deviations that could pose risks in the Buenos Aires context. The results will contribute to the ongoing improvement of electrical safety standards and professional training programs in Argentina.</w:t>
      </w:r>
    </w:p>
    <w:p>
      <w:pPr>
        <w:pStyle w:val="BodyText"/>
      </w:pPr>
      <w:r>
        <w:t xml:space="preserve">This protocol ensures that the evaluation of electrical work is rigorous, standardized, and tailored to the specific needs of the region, ultimately enhancing the safety and reliability of electrical systems for residents and businesses in Buenos Aires.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Installation Standards in Buenos Aires</dc:title>
  <dc:creator/>
  <dc:language>en</dc:language>
  <cp:keywords/>
  <dcterms:created xsi:type="dcterms:W3CDTF">2026-10-10T07:31:28Z</dcterms:created>
  <dcterms:modified xsi:type="dcterms:W3CDTF">2026-10-10T07:31:28Z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