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Residential</w:t>
      </w:r>
      <w:r>
        <w:t xml:space="preserve"> </w:t>
      </w:r>
      <w:r>
        <w:t xml:space="preserve">Electrical</w:t>
      </w:r>
      <w:r>
        <w:t xml:space="preserve"> </w:t>
      </w:r>
      <w:r>
        <w:t xml:space="preserve">Load</w:t>
      </w:r>
      <w:r>
        <w:t xml:space="preserve"> </w:t>
      </w:r>
      <w:r>
        <w:t xml:space="preserve">Analysis</w:t>
      </w:r>
      <w:r>
        <w:t xml:space="preserve"> </w:t>
      </w:r>
      <w:r>
        <w:t xml:space="preserve">in</w:t>
      </w:r>
      <w:r>
        <w:t xml:space="preserve"> </w:t>
      </w:r>
      <w:r>
        <w:t xml:space="preserve">Montreal</w:t>
      </w:r>
    </w:p>
    <w:bookmarkStart w:id="20" w:name="X632ec103c5c9f3a0685253cd73c7128cb677751"/>
    <w:p>
      <w:pPr>
        <w:pStyle w:val="Heading1"/>
      </w:pPr>
      <w:r>
        <w:t xml:space="preserve">Experiment Protocol: Residential Electrical Load Analysis</w:t>
      </w:r>
    </w:p>
    <w:p>
      <w:pPr>
        <w:pStyle w:val="FirstParagraph"/>
      </w:pPr>
      <w:r>
        <w:rPr>
          <w:bCs/>
          <w:b/>
        </w:rPr>
        <w:t xml:space="preserve">Location:</w:t>
      </w:r>
      <w:r>
        <w:t xml:space="preserve"> </w:t>
      </w:r>
      <w:r>
        <w:t xml:space="preserve">Montreal, Quebec, Canada</w:t>
      </w:r>
    </w:p>
    <w:p>
      <w:pPr>
        <w:pStyle w:val="BodyText"/>
      </w:pPr>
      <w:r>
        <w:rPr>
          <w:bCs/>
          <w:b/>
        </w:rPr>
        <w:t xml:space="preserve">Target Profession:</w:t>
      </w:r>
      <w:r>
        <w:t xml:space="preserve"> </w:t>
      </w:r>
      <w:r>
        <w:t xml:space="preserve">Certified Electrician</w:t>
      </w:r>
    </w:p>
    <w:p>
      <w:pPr>
        <w:pStyle w:val="BodyText"/>
      </w:pPr>
      <w:r>
        <w:rPr>
          <w:bCs/>
          <w:b/>
        </w:rPr>
        <w:t xml:space="preserve">Date:</w:t>
      </w:r>
      <w:r>
        <w:t xml:space="preserve"> </w:t>
      </w:r>
      <w:r>
        <w:t xml:space="preserve">October 26, 2023</w:t>
      </w:r>
    </w:p>
    <w:p>
      <w:pPr>
        <w:pStyle w:val="BodyText"/>
      </w:pPr>
      <w:r>
        <w:rPr>
          <w:bCs/>
          <w:b/>
        </w:rPr>
        <w:t xml:space="preserve">Protocol 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document outlines the standardized experiment protocol for evaluating residential electrical load distribution and safety compliance within the specific climatic and regulatory context of Montreal, Canada. The primary objective is to assess the performance of electrical systems in single-family dwellings during peak winter heating loads, a critical factor in Montreal's harsh climate.</w:t>
      </w:r>
    </w:p>
    <w:p>
      <w:pPr>
        <w:pStyle w:val="BodyText"/>
      </w:pPr>
      <w:r>
        <w:t xml:space="preserve">The experiment is designed to be conducted by a licensed electrician holding a valid certificate from the Régie du bâtiment du Québec (RBQ). The data collected will contribute to understanding energy efficiency, potential overload risks, and compliance with the Canadian Electrical Code (CEC), Part I, as adopted by the province of Quebec.</w:t>
      </w:r>
    </w:p>
    <w:bookmarkEnd w:id="21"/>
    <w:bookmarkStart w:id="22" w:name="Xefb3d95cd6f0d4398b1e551ee049e7ee2021fe6"/>
    <w:p>
      <w:pPr>
        <w:pStyle w:val="Heading2"/>
      </w:pPr>
      <w:r>
        <w:t xml:space="preserve">2. Regulatory Framework and Safety Standards</w:t>
      </w:r>
    </w:p>
    <w:p>
      <w:pPr>
        <w:pStyle w:val="FirstParagraph"/>
      </w:pPr>
      <w:r>
        <w:t xml:space="preserve">All procedures must strictly adhere to the following regulations:</w:t>
      </w:r>
    </w:p>
    <w:p>
      <w:pPr>
        <w:numPr>
          <w:ilvl w:val="0"/>
          <w:numId w:val="1001"/>
        </w:numPr>
        <w:pStyle w:val="Compact"/>
      </w:pPr>
      <w:r>
        <w:rPr>
          <w:bCs/>
          <w:b/>
        </w:rPr>
        <w:t xml:space="preserve">Canadian Electrical Code (CEC), Part I:</w:t>
      </w:r>
      <w:r>
        <w:t xml:space="preserve"> </w:t>
      </w:r>
      <w:r>
        <w:t xml:space="preserve">The national standard for electrical installations.</w:t>
      </w:r>
    </w:p>
    <w:p>
      <w:pPr>
        <w:numPr>
          <w:ilvl w:val="0"/>
          <w:numId w:val="1001"/>
        </w:numPr>
        <w:pStyle w:val="Compact"/>
      </w:pPr>
      <w:r>
        <w:rPr>
          <w:bCs/>
          <w:b/>
        </w:rPr>
        <w:t xml:space="preserve">Quebec Regulation respecting electrical safety (R-12):</w:t>
      </w:r>
      <w:r>
        <w:t xml:space="preserve"> </w:t>
      </w:r>
      <w:r>
        <w:t xml:space="preserve">Provincial amendments specific to Quebec.</w:t>
      </w:r>
    </w:p>
    <w:p>
      <w:pPr>
        <w:numPr>
          <w:ilvl w:val="0"/>
          <w:numId w:val="1001"/>
        </w:numPr>
        <w:pStyle w:val="Compact"/>
      </w:pPr>
      <w:r>
        <w:rPr>
          <w:bCs/>
          <w:b/>
        </w:rPr>
        <w:t xml:space="preserve">RBQ Standards:</w:t>
      </w:r>
      <w:r>
        <w:t xml:space="preserve"> </w:t>
      </w:r>
      <w:r>
        <w:t xml:space="preserve">Guidelines for professional conduct and technical execution.</w:t>
      </w:r>
    </w:p>
    <w:p>
      <w:pPr>
        <w:pStyle w:val="FirstParagraph"/>
      </w:pPr>
      <w:r>
        <w:rPr>
          <w:bCs/>
          <w:b/>
        </w:rPr>
        <w:t xml:space="preserve">SAFETY WARNING:</w:t>
      </w:r>
      <w:r>
        <w:t xml:space="preserve"> </w:t>
      </w:r>
      <w:r>
        <w:t xml:space="preserve">This experiment involves live electrical circuits. Only qualified electricians with appropriate Personal Protective Equipment (PPE) and lockout/tagout (LOTO) procedures may perform these tasks. Unauthorized personnel are strictly prohibited from participating.</w:t>
      </w:r>
    </w:p>
    <w:bookmarkEnd w:id="22"/>
    <w:bookmarkStart w:id="23" w:name="equipment-and-materials"/>
    <w:p>
      <w:pPr>
        <w:pStyle w:val="Heading2"/>
      </w:pPr>
      <w:r>
        <w:t xml:space="preserve">3. Equipment and Materials</w:t>
      </w:r>
    </w:p>
    <w:p>
      <w:pPr>
        <w:pStyle w:val="FirstParagraph"/>
      </w:pPr>
      <w:r>
        <w:t xml:space="preserve">The following calibrated equipment is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Clamp Meter</w:t>
            </w:r>
          </w:p>
        </w:tc>
        <w:tc>
          <w:tcPr/>
          <w:p>
            <w:pPr>
              <w:pStyle w:val="Compact"/>
              <w:jc w:val="left"/>
            </w:pPr>
            <w:r>
              <w:t xml:space="preserve">True RMS, CAT III 600V rated</w:t>
            </w:r>
          </w:p>
        </w:tc>
        <w:tc>
          <w:tcPr/>
          <w:p>
            <w:pPr>
              <w:pStyle w:val="Compact"/>
              <w:jc w:val="left"/>
            </w:pPr>
            <w:r>
              <w:t xml:space="preserve">2</w:t>
            </w:r>
          </w:p>
        </w:tc>
      </w:tr>
      <w:tr>
        <w:tc>
          <w:tcPr/>
          <w:p>
            <w:pPr>
              <w:pStyle w:val="Compact"/>
              <w:jc w:val="left"/>
            </w:pPr>
            <w:r>
              <w:t xml:space="preserve">Power Quality Analyzer</w:t>
            </w:r>
          </w:p>
        </w:tc>
        <w:tc>
          <w:tcPr/>
          <w:p>
            <w:pPr>
              <w:pStyle w:val="Compact"/>
              <w:jc w:val="left"/>
            </w:pPr>
            <w:r>
              <w:t xml:space="preserve">Capable of harmonic analysis</w:t>
            </w:r>
          </w:p>
        </w:tc>
        <w:tc>
          <w:tcPr/>
          <w:p>
            <w:pPr>
              <w:pStyle w:val="Compact"/>
              <w:jc w:val="left"/>
            </w:pPr>
            <w:r>
              <w:t xml:space="preserve">1</w:t>
            </w:r>
          </w:p>
        </w:tc>
      </w:tr>
      <w:tr>
        <w:tc>
          <w:tcPr/>
          <w:p>
            <w:pPr>
              <w:pStyle w:val="Compact"/>
              <w:jc w:val="left"/>
            </w:pPr>
            <w:r>
              <w:t xml:space="preserve">Infrared Thermography Camera</w:t>
            </w:r>
          </w:p>
        </w:tc>
        <w:tc>
          <w:tcPr/>
          <w:p>
            <w:pPr>
              <w:pStyle w:val="Compact"/>
              <w:jc w:val="left"/>
            </w:pPr>
            <w:r>
              <w:t xml:space="preserve">For thermal imaging of panels</w:t>
            </w:r>
          </w:p>
        </w:tc>
        <w:tc>
          <w:tcPr/>
          <w:p>
            <w:pPr>
              <w:pStyle w:val="Compact"/>
              <w:jc w:val="left"/>
            </w:pPr>
            <w:r>
              <w:t xml:space="preserve">1</w:t>
            </w:r>
          </w:p>
        </w:tc>
      </w:tr>
      <w:tr>
        <w:tc>
          <w:tcPr/>
          <w:p>
            <w:pPr>
              <w:pStyle w:val="Compact"/>
              <w:jc w:val="left"/>
            </w:pPr>
            <w:r>
              <w:t xml:space="preserve">Insulation Resistance Tester</w:t>
            </w:r>
          </w:p>
        </w:tc>
        <w:tc>
          <w:tcPr/>
          <w:p>
            <w:pPr>
              <w:pStyle w:val="Compact"/>
              <w:jc w:val="left"/>
            </w:pPr>
            <w:r>
              <w:t xml:space="preserve">500V DC output</w:t>
            </w:r>
          </w:p>
        </w:tc>
        <w:tc>
          <w:tcPr/>
          <w:p>
            <w:pPr>
              <w:pStyle w:val="Compact"/>
              <w:jc w:val="left"/>
            </w:pPr>
            <w:r>
              <w:t xml:space="preserve">1</w:t>
            </w:r>
          </w:p>
        </w:tc>
      </w:tr>
      <w:tr>
        <w:tc>
          <w:tcPr/>
          <w:p>
            <w:pPr>
              <w:pStyle w:val="Compact"/>
              <w:jc w:val="left"/>
            </w:pPr>
            <w:r>
              <w:t xml:space="preserve">PPE</w:t>
            </w:r>
          </w:p>
        </w:tc>
        <w:tc>
          <w:tcPr/>
          <w:p>
            <w:pPr>
              <w:pStyle w:val="Compact"/>
              <w:jc w:val="left"/>
            </w:pPr>
            <w:r>
              <w:t xml:space="preserve">Insulated gloves, arc-flash suit, safety glasses</w:t>
            </w:r>
          </w:p>
        </w:tc>
        <w:tc>
          <w:tcPr/>
          <w:p>
            <w:pPr>
              <w:pStyle w:val="Compact"/>
              <w:jc w:val="left"/>
            </w:pPr>
            <w:r>
              <w:t xml:space="preserve">Per person</w:t>
            </w:r>
          </w:p>
        </w:tc>
      </w:tr>
    </w:tbl>
    <w:bookmarkEnd w:id="23"/>
    <w:bookmarkStart w:id="29" w:name="experimental-procedure"/>
    <w:p>
      <w:pPr>
        <w:pStyle w:val="Heading2"/>
      </w:pPr>
      <w:r>
        <w:t xml:space="preserve">4. Experimental Procedure</w:t>
      </w:r>
    </w:p>
    <w:bookmarkStart w:id="24" w:name="site-selection-and-preparation"/>
    <w:p>
      <w:pPr>
        <w:pStyle w:val="Heading3"/>
      </w:pPr>
      <w:r>
        <w:t xml:space="preserve">4.1. Site Selection and Preparation</w:t>
      </w:r>
    </w:p>
    <w:p>
      <w:pPr>
        <w:pStyle w:val="FirstParagraph"/>
      </w:pPr>
      <w:r>
        <w:t xml:space="preserve">Select a residential property in Montreal built between 1990 and 2010. Ensure the property has a standard 200A service entrance. Obtain written consent from the homeowner. Verify that the main electrical panel is accessible and labeled according to CEC requirements.</w:t>
      </w:r>
    </w:p>
    <w:bookmarkEnd w:id="24"/>
    <w:bookmarkStart w:id="25" w:name="baseline-measurements"/>
    <w:p>
      <w:pPr>
        <w:pStyle w:val="Heading3"/>
      </w:pPr>
      <w:r>
        <w:t xml:space="preserve">4.2. Baseline Measurements</w:t>
      </w:r>
    </w:p>
    <w:p>
      <w:pPr>
        <w:pStyle w:val="FirstParagraph"/>
      </w:pPr>
      <w:r>
        <w:t xml:space="preserve">With all non-essential loads disconnected, measure the voltage at the main service entrance. Record the phase-to-phase and phase-to-neutral voltages. Montreal's distribution system typically provides 120/240V single-phase service. Document any deviations from nominal values.</w:t>
      </w:r>
    </w:p>
    <w:bookmarkEnd w:id="25"/>
    <w:bookmarkStart w:id="26" w:name="load-simulation"/>
    <w:p>
      <w:pPr>
        <w:pStyle w:val="Heading3"/>
      </w:pPr>
      <w:r>
        <w:t xml:space="preserve">4.3. Load Simulation</w:t>
      </w:r>
    </w:p>
    <w:p>
      <w:pPr>
        <w:pStyle w:val="FirstParagraph"/>
      </w:pPr>
      <w:r>
        <w:t xml:space="preserve">Simulate a typical Montreal winter evening load scenario:</w:t>
      </w:r>
    </w:p>
    <w:p>
      <w:pPr>
        <w:numPr>
          <w:ilvl w:val="0"/>
          <w:numId w:val="1002"/>
        </w:numPr>
        <w:pStyle w:val="Compact"/>
      </w:pPr>
      <w:r>
        <w:t xml:space="preserve">Activate electric baseboard heaters on 70% of circuits.</w:t>
      </w:r>
    </w:p>
    <w:p>
      <w:pPr>
        <w:numPr>
          <w:ilvl w:val="0"/>
          <w:numId w:val="1002"/>
        </w:numPr>
        <w:pStyle w:val="Compact"/>
      </w:pPr>
      <w:r>
        <w:t xml:space="preserve">Turn on major appliances (refrigerator, dryer, dishwasher).</w:t>
      </w:r>
    </w:p>
    <w:p>
      <w:pPr>
        <w:numPr>
          <w:ilvl w:val="0"/>
          <w:numId w:val="1002"/>
        </w:numPr>
        <w:pStyle w:val="Compact"/>
      </w:pPr>
      <w:r>
        <w:t xml:space="preserve">Illuminate all interior and exterior lighting.</w:t>
      </w:r>
    </w:p>
    <w:p>
      <w:pPr>
        <w:pStyle w:val="FirstParagraph"/>
      </w:pPr>
      <w:r>
        <w:t xml:space="preserve">Allow the system to stabilize for 30 minutes. This duration accounts for the thermal inertia of heating elements and the cycling of compressors.</w:t>
      </w:r>
    </w:p>
    <w:bookmarkEnd w:id="26"/>
    <w:bookmarkStart w:id="27" w:name="data-collection"/>
    <w:p>
      <w:pPr>
        <w:pStyle w:val="Heading3"/>
      </w:pPr>
      <w:r>
        <w:t xml:space="preserve">4.4. Data Collection</w:t>
      </w:r>
    </w:p>
    <w:p>
      <w:pPr>
        <w:pStyle w:val="FirstParagraph"/>
      </w:pPr>
      <w:r>
        <w:t xml:space="preserve">Using the clamp meters and power quality analyzer, record the following at 5-minute intervals for 2 hours:</w:t>
      </w:r>
    </w:p>
    <w:p>
      <w:pPr>
        <w:numPr>
          <w:ilvl w:val="0"/>
          <w:numId w:val="1003"/>
        </w:numPr>
        <w:pStyle w:val="Compact"/>
      </w:pPr>
      <w:r>
        <w:t xml:space="preserve">Total current draw on each phase.</w:t>
      </w:r>
    </w:p>
    <w:p>
      <w:pPr>
        <w:numPr>
          <w:ilvl w:val="0"/>
          <w:numId w:val="1003"/>
        </w:numPr>
        <w:pStyle w:val="Compact"/>
      </w:pPr>
      <w:r>
        <w:t xml:space="preserve">Voltage drop across critical circuits.</w:t>
      </w:r>
    </w:p>
    <w:p>
      <w:pPr>
        <w:numPr>
          <w:ilvl w:val="0"/>
          <w:numId w:val="1003"/>
        </w:numPr>
        <w:pStyle w:val="Compact"/>
      </w:pPr>
      <w:r>
        <w:t xml:space="preserve">Power factor and harmonic distortion levels.</w:t>
      </w:r>
    </w:p>
    <w:p>
      <w:pPr>
        <w:pStyle w:val="FirstParagraph"/>
      </w:pPr>
      <w:r>
        <w:t xml:space="preserve">Simultaneously, use the infrared thermography camera to scan the main panel, breakers, and service entrance conductors for abnormal heat signatures, which may indicate loose connections or overloaded components.</w:t>
      </w:r>
    </w:p>
    <w:bookmarkEnd w:id="27"/>
    <w:bookmarkStart w:id="28" w:name="insulation-testing"/>
    <w:p>
      <w:pPr>
        <w:pStyle w:val="Heading3"/>
      </w:pPr>
      <w:r>
        <w:t xml:space="preserve">4.5. Insulation Testing</w:t>
      </w:r>
    </w:p>
    <w:p>
      <w:pPr>
        <w:pStyle w:val="FirstParagraph"/>
      </w:pPr>
      <w:r>
        <w:t xml:space="preserve">After de-energizing the system and applying LOTO procedures, perform insulation resistance tests on a sample of branch circuits. This step is crucial in Montreal due to the potential for moisture ingress and freeze-thaw cycles affecting wiring integrity.</w:t>
      </w:r>
    </w:p>
    <w:bookmarkEnd w:id="28"/>
    <w:bookmarkEnd w:id="29"/>
    <w:bookmarkStart w:id="30" w:name="data-analysis-and-reporting"/>
    <w:p>
      <w:pPr>
        <w:pStyle w:val="Heading2"/>
      </w:pPr>
      <w:r>
        <w:t xml:space="preserve">5. Data Analysis and Reporting</w:t>
      </w:r>
    </w:p>
    <w:p>
      <w:pPr>
        <w:pStyle w:val="FirstParagraph"/>
      </w:pPr>
      <w:r>
        <w:t xml:space="preserve">The electrician must compile all data into a comprehensive report. The analysis should include:</w:t>
      </w:r>
    </w:p>
    <w:p>
      <w:pPr>
        <w:numPr>
          <w:ilvl w:val="0"/>
          <w:numId w:val="1004"/>
        </w:numPr>
        <w:pStyle w:val="Compact"/>
      </w:pPr>
      <w:r>
        <w:t xml:space="preserve">Comparison of measured loads against the panel's rated capacity.</w:t>
      </w:r>
    </w:p>
    <w:p>
      <w:pPr>
        <w:numPr>
          <w:ilvl w:val="0"/>
          <w:numId w:val="1004"/>
        </w:numPr>
        <w:pStyle w:val="Compact"/>
      </w:pPr>
      <w:r>
        <w:t xml:space="preserve">Identification of any circuits operating above 80% of their breaker rating for sustained periods.</w:t>
      </w:r>
    </w:p>
    <w:p>
      <w:pPr>
        <w:numPr>
          <w:ilvl w:val="0"/>
          <w:numId w:val="1004"/>
        </w:numPr>
        <w:pStyle w:val="Compact"/>
      </w:pPr>
      <w:r>
        <w:t xml:space="preserve">Assessment of voltage stability under peak load conditions.</w:t>
      </w:r>
    </w:p>
    <w:p>
      <w:pPr>
        <w:numPr>
          <w:ilvl w:val="0"/>
          <w:numId w:val="1004"/>
        </w:numPr>
        <w:pStyle w:val="Compact"/>
      </w:pPr>
      <w:r>
        <w:t xml:space="preserve">Recommendations for upgrades or corrective actions, if necessary, in compliance with RBQ standards.</w:t>
      </w:r>
    </w:p>
    <w:p>
      <w:pPr>
        <w:pStyle w:val="FirstParagraph"/>
      </w:pPr>
      <w:r>
        <w:t xml:space="preserve">Special attention should be given to the impact of Montreal's cold climate on electrical components, such as increased resistance in aging wiring or the performance of outdoor outlets and heating systems.</w:t>
      </w:r>
    </w:p>
    <w:bookmarkEnd w:id="30"/>
    <w:bookmarkStart w:id="31" w:name="conclusion"/>
    <w:p>
      <w:pPr>
        <w:pStyle w:val="Heading2"/>
      </w:pPr>
      <w:r>
        <w:t xml:space="preserve">6. Conclusion</w:t>
      </w:r>
    </w:p>
    <w:p>
      <w:pPr>
        <w:pStyle w:val="FirstParagraph"/>
      </w:pPr>
      <w:r>
        <w:t xml:space="preserve">This experiment protocol provides a rigorous framework for electricians in Montreal to evaluate residential electrical systems. By following these steps, professionals can ensure safety, compliance, and efficiency, ultimately contributing to the reliability of electrical infrastructure in one of Canada's most demanding urban environments.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Residential Electrical Load Analysis in Montreal</dc:title>
  <dc:creator/>
  <dc:language>en</dc:language>
  <cp:keywords/>
  <dcterms:created xsi:type="dcterms:W3CDTF">2026-10-10T02:46:00Z</dcterms:created>
  <dcterms:modified xsi:type="dcterms:W3CDTF">2026-10-10T02:46:00Z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